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7DA" w:rsidRDefault="001B57DA" w:rsidP="001B57DA">
      <w:pPr>
        <w:jc w:val="both"/>
        <w:rPr>
          <w:b/>
          <w:lang w:val="sr-Cyrl-CS"/>
        </w:rPr>
      </w:pPr>
    </w:p>
    <w:p w:rsidR="001B57DA" w:rsidRDefault="001B57DA" w:rsidP="001B57DA">
      <w:pPr>
        <w:jc w:val="both"/>
        <w:rPr>
          <w:b/>
          <w:lang w:val="sr-Cyrl-CS"/>
        </w:rPr>
      </w:pPr>
    </w:p>
    <w:p w:rsidR="001B57DA" w:rsidRPr="00CB12C4" w:rsidRDefault="001B57DA" w:rsidP="001B57DA">
      <w:pPr>
        <w:jc w:val="both"/>
        <w:rPr>
          <w:b/>
          <w:lang w:val="sr-Cyrl-CS"/>
        </w:rPr>
      </w:pPr>
    </w:p>
    <w:p w:rsidR="001B57DA" w:rsidRPr="00CB12C4" w:rsidRDefault="001B57DA" w:rsidP="001B57DA">
      <w:pPr>
        <w:jc w:val="center"/>
        <w:rPr>
          <w:b/>
          <w:sz w:val="30"/>
          <w:szCs w:val="30"/>
          <w:lang w:val="sr-Cyrl-CS"/>
        </w:rPr>
      </w:pPr>
      <w:r w:rsidRPr="00CB12C4">
        <w:rPr>
          <w:b/>
          <w:sz w:val="30"/>
          <w:szCs w:val="30"/>
          <w:lang w:val="sr-Cyrl-CS"/>
        </w:rPr>
        <w:t>АНАЛИЗА ЕФЕКАТА ЗАКОНА</w:t>
      </w:r>
    </w:p>
    <w:p w:rsidR="001B57DA" w:rsidRPr="00CB12C4" w:rsidRDefault="001B57DA" w:rsidP="001B57DA">
      <w:pPr>
        <w:jc w:val="center"/>
        <w:rPr>
          <w:b/>
          <w:lang w:val="sr-Cyrl-CS"/>
        </w:rPr>
      </w:pPr>
    </w:p>
    <w:p w:rsidR="001B57DA" w:rsidRPr="00CB12C4" w:rsidRDefault="001B57DA" w:rsidP="001B57DA">
      <w:pPr>
        <w:jc w:val="center"/>
        <w:rPr>
          <w:b/>
          <w:sz w:val="16"/>
          <w:szCs w:val="16"/>
          <w:lang w:val="sr-Cyrl-RS"/>
        </w:rPr>
      </w:pPr>
    </w:p>
    <w:p w:rsidR="001B57DA" w:rsidRPr="00CB12C4" w:rsidRDefault="001B57DA" w:rsidP="001B57DA">
      <w:pPr>
        <w:jc w:val="center"/>
        <w:rPr>
          <w:b/>
          <w:sz w:val="28"/>
          <w:szCs w:val="28"/>
          <w:lang w:val="sr-Cyrl-CS"/>
        </w:rPr>
      </w:pPr>
      <w:r w:rsidRPr="00CB12C4">
        <w:rPr>
          <w:b/>
          <w:sz w:val="28"/>
          <w:szCs w:val="28"/>
          <w:lang w:val="sr-Cyrl-CS"/>
        </w:rPr>
        <w:t xml:space="preserve">-  </w:t>
      </w:r>
      <w:r>
        <w:rPr>
          <w:b/>
          <w:sz w:val="28"/>
          <w:szCs w:val="28"/>
          <w:lang w:val="sr-Cyrl-RS"/>
        </w:rPr>
        <w:t>ПРЕДЛОГ</w:t>
      </w:r>
      <w:r w:rsidRPr="00CB12C4">
        <w:rPr>
          <w:b/>
          <w:sz w:val="28"/>
          <w:szCs w:val="28"/>
          <w:lang w:val="sr-Cyrl-CS"/>
        </w:rPr>
        <w:t xml:space="preserve"> ЗАКОНА О ЈАВНОМ ИНФОРМИСАЊУ И МЕДИЈИМА -</w:t>
      </w:r>
    </w:p>
    <w:p w:rsidR="001B57DA" w:rsidRPr="00CB12C4" w:rsidRDefault="001B57DA" w:rsidP="001B57DA">
      <w:pPr>
        <w:jc w:val="center"/>
        <w:rPr>
          <w:b/>
          <w:lang w:val="sr-Cyrl-CS"/>
        </w:rPr>
      </w:pPr>
    </w:p>
    <w:p w:rsidR="001B57DA" w:rsidRPr="00CB12C4" w:rsidRDefault="001B57DA" w:rsidP="001B57DA">
      <w:pPr>
        <w:jc w:val="center"/>
        <w:rPr>
          <w:b/>
          <w:lang w:val="sr-Cyrl-CS"/>
        </w:rPr>
      </w:pPr>
    </w:p>
    <w:p w:rsidR="001B57DA" w:rsidRPr="00CB12C4" w:rsidRDefault="001B57DA" w:rsidP="001B57DA">
      <w:pPr>
        <w:numPr>
          <w:ilvl w:val="0"/>
          <w:numId w:val="29"/>
        </w:numPr>
        <w:jc w:val="both"/>
        <w:rPr>
          <w:b/>
          <w:sz w:val="25"/>
          <w:szCs w:val="25"/>
          <w:lang w:val="sr-Latn-CS"/>
        </w:rPr>
      </w:pPr>
      <w:r w:rsidRPr="00CB12C4">
        <w:rPr>
          <w:b/>
          <w:sz w:val="25"/>
          <w:szCs w:val="25"/>
          <w:lang w:val="sr-Latn-CS"/>
        </w:rPr>
        <w:t xml:space="preserve">Анализа постојећег стања и идентификовање промене коју треба постићи </w:t>
      </w:r>
      <w:r w:rsidRPr="00CB12C4">
        <w:rPr>
          <w:b/>
          <w:sz w:val="25"/>
          <w:szCs w:val="25"/>
          <w:lang w:val="sr-Cyrl-RS"/>
        </w:rPr>
        <w:t>доношењем овог закона, као и могућих опција</w:t>
      </w:r>
    </w:p>
    <w:p w:rsidR="001B57DA" w:rsidRPr="00CB12C4" w:rsidRDefault="001B57DA" w:rsidP="001B57DA">
      <w:pPr>
        <w:ind w:firstLine="720"/>
        <w:jc w:val="both"/>
        <w:rPr>
          <w:sz w:val="28"/>
          <w:szCs w:val="28"/>
          <w:lang w:val="sr-Cyrl-CS"/>
        </w:rPr>
      </w:pPr>
    </w:p>
    <w:p w:rsidR="001B57DA" w:rsidRPr="00CB12C4" w:rsidRDefault="001B57DA" w:rsidP="001B57DA">
      <w:pPr>
        <w:ind w:firstLine="720"/>
        <w:jc w:val="both"/>
        <w:rPr>
          <w:lang w:val="sr-Cyrl-CS"/>
        </w:rPr>
      </w:pPr>
      <w:r w:rsidRPr="00CB12C4">
        <w:rPr>
          <w:lang w:val="sr-Cyrl-CS"/>
        </w:rPr>
        <w:t>Систем јавног информисања у свакој земљи има посебан значај за развој демократских односа у друштву и регулише се законом. Устав Републике Србије гарантује слободу мишљења и изражавања и гарантује слободу медија у складу са највишим међународним стандардима и стандaрдима земаља Европске Уније. Законским правилима уређује се начин остваривања права загарантованих Уставом. У првом реду законом се обезбеђује и штити слобода изношења, примања и размене информација, ставова и мишљења путем медија и штити се право грађана на истинито, потпуно и благовремено информисање. Значај области јавног информисања, и посебно улоге коју у њој имају медији, захтева континуирано праћење ове области и стално унапређивање и усклађивање законског оквира са стандардима садржаним у међународним документима, нарочитo документима Уједињених нација, Европске уније и Савета Европе, али и са стандардима произашлих из праксе појединих институција које се баве заштитом људских права, нарочито Европског суда за људска права. Реч је о области друштвеног живота која је веома динамична и у сталном развоју, а на коју огроман утицај имају и различита техничко-технолошка достигнућа.</w:t>
      </w:r>
    </w:p>
    <w:p w:rsidR="001B57DA" w:rsidRPr="00CB12C4" w:rsidRDefault="001B57DA" w:rsidP="001B57DA">
      <w:pPr>
        <w:ind w:firstLine="720"/>
        <w:jc w:val="both"/>
        <w:rPr>
          <w:lang w:val="sr-Cyrl-CS"/>
        </w:rPr>
      </w:pPr>
      <w:r w:rsidRPr="00CB12C4">
        <w:rPr>
          <w:lang w:val="sr-Cyrl-CS"/>
        </w:rPr>
        <w:t xml:space="preserve">Потреба за темељним редефинисањем и унапређењем система јавног информисања, па самим тим и Закона о јавном информисању, јасно је исказана кроз Стратегију развоја система јавног информисања у Републици Србији за период 2020 – 2025. године („Службени гласник РС”, број 11/20). У Акционом плану за спровођење </w:t>
      </w:r>
      <w:r w:rsidRPr="00CB12C4">
        <w:rPr>
          <w:lang w:val="sr-Cyrl-RS"/>
        </w:rPr>
        <w:t>ове с</w:t>
      </w:r>
      <w:r w:rsidRPr="00CB12C4">
        <w:rPr>
          <w:lang w:val="sr-Cyrl-CS"/>
        </w:rPr>
        <w:t xml:space="preserve">тратегије, као најважнија активност предвиђена је припрема Нацрта закона о изменама и допунама Закона о јавном информисању и медијима. </w:t>
      </w:r>
    </w:p>
    <w:p w:rsidR="001B57DA" w:rsidRPr="00CB12C4" w:rsidRDefault="001B57DA" w:rsidP="001B57DA">
      <w:pPr>
        <w:ind w:firstLine="720"/>
        <w:jc w:val="both"/>
        <w:rPr>
          <w:lang w:val="sr-Cyrl-CS"/>
        </w:rPr>
      </w:pPr>
      <w:r w:rsidRPr="00CB12C4">
        <w:rPr>
          <w:lang w:val="sr-Cyrl-CS"/>
        </w:rPr>
        <w:t>Важећи Закон о јавном информисању („Службени гласник РС”, бр. 83/14, 58/15 и 12/16 – аутентично тумачење) донет је 2014. године и, као системски закон у области јавног информисања и медија, у највећој мери пратио је тадашње међународне стандарде. Стандарди су се у међувремену унапредили, пракса спровођења закона показала је одређене недостатке и недоречености, одакле је следила неопходност и потреба да овај закон буде измењен и допуњен. Рад на измени постојећег закона је кренуо у правцу измена и допуна, али је након завршетка рада констатовано да је број предложених измена и број нових чланови већи од половине чланова важећег закона, због чега је одлучено је да се сачини нови законски текст.</w:t>
      </w:r>
    </w:p>
    <w:p w:rsidR="001B57DA" w:rsidRDefault="001B57DA" w:rsidP="001B57DA">
      <w:pPr>
        <w:ind w:firstLine="720"/>
        <w:jc w:val="both"/>
        <w:rPr>
          <w:lang w:val="sr-Cyrl-CS"/>
        </w:rPr>
      </w:pPr>
    </w:p>
    <w:p w:rsidR="001B57DA" w:rsidRDefault="001B57DA" w:rsidP="001B57DA">
      <w:pPr>
        <w:ind w:firstLine="720"/>
        <w:jc w:val="both"/>
        <w:rPr>
          <w:lang w:val="sr-Cyrl-CS"/>
        </w:rPr>
      </w:pPr>
    </w:p>
    <w:p w:rsidR="001B57DA" w:rsidRPr="00CB12C4" w:rsidRDefault="001B57DA" w:rsidP="001B57DA">
      <w:pPr>
        <w:ind w:firstLine="720"/>
        <w:jc w:val="both"/>
        <w:rPr>
          <w:lang w:val="sr-Cyrl-CS"/>
        </w:rPr>
      </w:pPr>
    </w:p>
    <w:p w:rsidR="001B57DA" w:rsidRPr="00CB12C4" w:rsidRDefault="001B57DA" w:rsidP="001B57DA">
      <w:pPr>
        <w:ind w:firstLine="720"/>
        <w:jc w:val="both"/>
      </w:pPr>
      <w:r w:rsidRPr="00CB12C4">
        <w:rPr>
          <w:color w:val="000000"/>
          <w:lang w:val="sr-Cyrl-RS"/>
        </w:rPr>
        <w:lastRenderedPageBreak/>
        <w:t xml:space="preserve">Један од </w:t>
      </w:r>
      <w:r>
        <w:rPr>
          <w:color w:val="000000"/>
          <w:lang w:val="sr-Cyrl-RS"/>
        </w:rPr>
        <w:t>основ</w:t>
      </w:r>
      <w:r w:rsidRPr="00CB12C4">
        <w:rPr>
          <w:color w:val="000000"/>
          <w:lang w:val="sr-Cyrl-RS"/>
        </w:rPr>
        <w:t xml:space="preserve">них проблема у области јавног информисања и медија односи се на суфинансирање пројеката у области јавног информисања. </w:t>
      </w:r>
      <w:r w:rsidRPr="00CB12C4">
        <w:rPr>
          <w:color w:val="000000"/>
        </w:rPr>
        <w:t>Нефункционално медијско тржиште, нетранспаретност и одсуство једнаких могућности приступа алтернативних токова јавних средстава усмерених ка медијима (системских, транспарентних, јасних и недискриминаторних подстицаја), креирали су очекивања да суфинансирање пројеката у области јавног информисања буде нешто што оно тешко може бити, односно да уместо да гарантује богатство садржаја које тржиште не обезбеђује и неће нужно само од себе обезбедити, осигура опстанак осиромашених медија. Овакво стање вишеструко утиче на медијску сцену, а што је последица, како недовољног износа средстава за њено остваривање, тако и недоречености регулативе и њене примене:</w:t>
      </w:r>
    </w:p>
    <w:p w:rsidR="001B57DA" w:rsidRPr="00CB12C4" w:rsidRDefault="001B57DA" w:rsidP="001B57DA">
      <w:pPr>
        <w:numPr>
          <w:ilvl w:val="0"/>
          <w:numId w:val="39"/>
        </w:numPr>
        <w:jc w:val="both"/>
      </w:pPr>
      <w:r w:rsidRPr="00CB12C4">
        <w:rPr>
          <w:color w:val="000000"/>
        </w:rPr>
        <w:t>пројектно суфинансирање постаје модел финансијске одрживости медија и служи финансирању редовне активности медија, а не као средство да се финансирају недостајући садржаји у јавном интересу, што онемогућава развој уобичајених тржишних односа, односно ремети тржишне односе (пре свега се односи на локал</w:t>
      </w:r>
      <w:r w:rsidRPr="00CB12C4">
        <w:rPr>
          <w:color w:val="000000"/>
          <w:lang w:val="sr-Cyrl-RS"/>
        </w:rPr>
        <w:t>ни ниво</w:t>
      </w:r>
      <w:r w:rsidRPr="00CB12C4">
        <w:rPr>
          <w:color w:val="000000"/>
        </w:rPr>
        <w:t>);</w:t>
      </w:r>
    </w:p>
    <w:p w:rsidR="001B57DA" w:rsidRPr="00CB12C4" w:rsidRDefault="001B57DA" w:rsidP="001B57DA">
      <w:pPr>
        <w:numPr>
          <w:ilvl w:val="0"/>
          <w:numId w:val="39"/>
        </w:numPr>
        <w:jc w:val="both"/>
      </w:pPr>
      <w:r w:rsidRPr="00CB12C4">
        <w:rPr>
          <w:color w:val="000000"/>
        </w:rPr>
        <w:t>пројекти који подразумевају недостајуће садржаје у јавном интересу се не производе у довољној мери, што доводи до тога да нема довољно квалитетних садржаја који испуњавају јавни интерес у области јавног информисања</w:t>
      </w:r>
      <w:r w:rsidRPr="00CB12C4">
        <w:rPr>
          <w:color w:val="000000"/>
          <w:lang w:val="sr-Cyrl-RS"/>
        </w:rPr>
        <w:t>;</w:t>
      </w:r>
    </w:p>
    <w:p w:rsidR="001B57DA" w:rsidRPr="00CB12C4" w:rsidRDefault="001B57DA" w:rsidP="001B57DA">
      <w:pPr>
        <w:numPr>
          <w:ilvl w:val="0"/>
          <w:numId w:val="39"/>
        </w:numPr>
        <w:jc w:val="both"/>
      </w:pPr>
      <w:r w:rsidRPr="00CB12C4">
        <w:rPr>
          <w:color w:val="000000"/>
        </w:rPr>
        <w:t>нејасно дефинисана намена конкурса, која не полази од претходно дефинисаних потреба становништва за одређеним медијским садржајима;</w:t>
      </w:r>
    </w:p>
    <w:p w:rsidR="001B57DA" w:rsidRPr="00CB12C4" w:rsidRDefault="001B57DA" w:rsidP="001B57DA">
      <w:pPr>
        <w:numPr>
          <w:ilvl w:val="0"/>
          <w:numId w:val="39"/>
        </w:numPr>
        <w:jc w:val="both"/>
      </w:pPr>
      <w:r w:rsidRPr="00CB12C4">
        <w:rPr>
          <w:color w:val="000000"/>
        </w:rPr>
        <w:t>проблеми у формирању и раду стручних комисија, укључујући и критеријуме за чланове експертских комисија које одлучују о расподели средстава;</w:t>
      </w:r>
    </w:p>
    <w:p w:rsidR="001B57DA" w:rsidRPr="00CB12C4" w:rsidRDefault="001B57DA" w:rsidP="001B57DA">
      <w:pPr>
        <w:numPr>
          <w:ilvl w:val="0"/>
          <w:numId w:val="39"/>
        </w:numPr>
        <w:jc w:val="both"/>
      </w:pPr>
      <w:r w:rsidRPr="00CB12C4">
        <w:rPr>
          <w:color w:val="000000"/>
        </w:rPr>
        <w:t>недовољна транспарентност у одлучивању о додели средстава;</w:t>
      </w:r>
    </w:p>
    <w:p w:rsidR="001B57DA" w:rsidRPr="00CB12C4" w:rsidRDefault="001B57DA" w:rsidP="001B57DA">
      <w:pPr>
        <w:numPr>
          <w:ilvl w:val="0"/>
          <w:numId w:val="39"/>
        </w:numPr>
        <w:jc w:val="both"/>
      </w:pPr>
      <w:r w:rsidRPr="00CB12C4">
        <w:rPr>
          <w:color w:val="000000"/>
        </w:rPr>
        <w:t>додељивање високих износа за програме који спадају у редовну активност медија;</w:t>
      </w:r>
    </w:p>
    <w:p w:rsidR="001B57DA" w:rsidRPr="00CB12C4" w:rsidRDefault="001B57DA" w:rsidP="001B57DA">
      <w:pPr>
        <w:numPr>
          <w:ilvl w:val="0"/>
          <w:numId w:val="39"/>
        </w:numPr>
        <w:jc w:val="both"/>
      </w:pPr>
      <w:r w:rsidRPr="00CB12C4">
        <w:rPr>
          <w:color w:val="000000"/>
        </w:rPr>
        <w:t>одступања (коначне) одлуке о расподели средстава од предлога конкурсних комисија противно законским одредбама;</w:t>
      </w:r>
    </w:p>
    <w:p w:rsidR="001B57DA" w:rsidRPr="00CB12C4" w:rsidRDefault="001B57DA" w:rsidP="001B57DA">
      <w:pPr>
        <w:numPr>
          <w:ilvl w:val="0"/>
          <w:numId w:val="39"/>
        </w:numPr>
        <w:jc w:val="both"/>
      </w:pPr>
      <w:r w:rsidRPr="00CB12C4">
        <w:rPr>
          <w:color w:val="000000"/>
        </w:rPr>
        <w:t>непостојање адекватног механизма евалуације одобрених пројеката (динамика евалуације, методологија евалуације и критеријуми за оцену остварености конкретног циља због кога је конкурс расписан);</w:t>
      </w:r>
    </w:p>
    <w:p w:rsidR="001B57DA" w:rsidRPr="00CB12C4" w:rsidRDefault="001B57DA" w:rsidP="001B57DA">
      <w:pPr>
        <w:numPr>
          <w:ilvl w:val="0"/>
          <w:numId w:val="39"/>
        </w:numPr>
        <w:jc w:val="both"/>
      </w:pPr>
      <w:proofErr w:type="gramStart"/>
      <w:r w:rsidRPr="00CB12C4">
        <w:rPr>
          <w:color w:val="000000"/>
        </w:rPr>
        <w:t>недостатак</w:t>
      </w:r>
      <w:proofErr w:type="gramEnd"/>
      <w:r w:rsidRPr="00CB12C4">
        <w:rPr>
          <w:color w:val="000000"/>
        </w:rPr>
        <w:t xml:space="preserve"> адекватних санкција за неизвршење и повреду законских одредаба које се односе на пројектно суфинансирање, те недостатак надзорних механизама.</w:t>
      </w:r>
    </w:p>
    <w:p w:rsidR="001B57DA" w:rsidRPr="00CB12C4" w:rsidRDefault="001B57DA" w:rsidP="001B57DA">
      <w:pPr>
        <w:jc w:val="both"/>
        <w:rPr>
          <w:lang w:val="sr-Cyrl-CS"/>
        </w:rPr>
      </w:pPr>
    </w:p>
    <w:p w:rsidR="001B57DA" w:rsidRPr="00CB12C4" w:rsidRDefault="001B57DA" w:rsidP="001B57DA">
      <w:pPr>
        <w:ind w:firstLine="720"/>
        <w:jc w:val="both"/>
        <w:rPr>
          <w:color w:val="000000"/>
          <w:lang w:val="sr-Cyrl-RS"/>
        </w:rPr>
      </w:pPr>
      <w:r w:rsidRPr="00CB12C4">
        <w:rPr>
          <w:color w:val="000000"/>
          <w:lang w:val="sr-Cyrl-RS"/>
        </w:rPr>
        <w:t>Општи циљ доношења овог закона је у</w:t>
      </w:r>
      <w:r w:rsidRPr="00CB12C4">
        <w:rPr>
          <w:color w:val="000000"/>
        </w:rPr>
        <w:t>напређен систем јавног информисања кроз хармонизован позитивни правни оквир који гарантује слободу изражавања, слободу медија, безбедност новинара, оснажену новинарску професију, едуковано грађанство и институције способне за примену регулативе</w:t>
      </w:r>
      <w:r w:rsidRPr="00CB12C4">
        <w:rPr>
          <w:color w:val="000000"/>
          <w:lang w:val="sr-Cyrl-RS"/>
        </w:rPr>
        <w:t>.</w:t>
      </w:r>
    </w:p>
    <w:p w:rsidR="001B57DA" w:rsidRPr="00CB12C4" w:rsidRDefault="001B57DA" w:rsidP="001B57DA">
      <w:pPr>
        <w:jc w:val="both"/>
        <w:rPr>
          <w:color w:val="000000"/>
          <w:lang w:val="sr-Cyrl-RS"/>
        </w:rPr>
      </w:pPr>
    </w:p>
    <w:p w:rsidR="001B57DA" w:rsidRPr="00CB12C4" w:rsidRDefault="001B57DA" w:rsidP="001B57DA">
      <w:pPr>
        <w:ind w:firstLine="720"/>
        <w:jc w:val="both"/>
        <w:rPr>
          <w:color w:val="000000"/>
          <w:lang w:val="sr-Cyrl-RS"/>
        </w:rPr>
      </w:pPr>
      <w:r w:rsidRPr="00CB12C4">
        <w:rPr>
          <w:color w:val="000000"/>
          <w:lang w:val="sr-Cyrl-RS"/>
        </w:rPr>
        <w:t xml:space="preserve">Општи циљ уређења јавног информисања је </w:t>
      </w:r>
      <w:r w:rsidRPr="00CB12C4">
        <w:rPr>
          <w:color w:val="000000"/>
          <w:lang w:val="sr-Latn-RS"/>
        </w:rPr>
        <w:t xml:space="preserve">да </w:t>
      </w:r>
      <w:r w:rsidRPr="00CB12C4">
        <w:rPr>
          <w:color w:val="000000"/>
          <w:lang w:val="sr-Cyrl-RS"/>
        </w:rPr>
        <w:t>обезбеди слободан, плуралистички, објективан и одговоран приступ информацијама за грађане. Ово укључује низ аспеката и циљева који су од суштинског значаја за демократско друштво. Кључни циљеви уређења јавног информисања укључују:</w:t>
      </w:r>
    </w:p>
    <w:p w:rsidR="001B57DA" w:rsidRPr="00CB12C4" w:rsidRDefault="001B57DA" w:rsidP="001B57DA">
      <w:pPr>
        <w:jc w:val="both"/>
        <w:rPr>
          <w:color w:val="000000"/>
          <w:lang w:val="sr-Cyrl-RS"/>
        </w:rPr>
      </w:pPr>
    </w:p>
    <w:p w:rsidR="001B57DA" w:rsidRPr="00CB12C4" w:rsidRDefault="001B57DA" w:rsidP="001B57DA">
      <w:pPr>
        <w:numPr>
          <w:ilvl w:val="0"/>
          <w:numId w:val="46"/>
        </w:numPr>
        <w:jc w:val="both"/>
        <w:rPr>
          <w:color w:val="000000"/>
          <w:lang w:val="sr-Latn-RS"/>
        </w:rPr>
      </w:pPr>
      <w:r w:rsidRPr="00CB12C4">
        <w:rPr>
          <w:color w:val="000000"/>
          <w:lang w:val="sr-Cyrl-RS"/>
        </w:rPr>
        <w:lastRenderedPageBreak/>
        <w:t xml:space="preserve">слободу медија: осигурати слободу изражавања и слободу медија као основно право грађана. то значи да новинари и медији могу неометано </w:t>
      </w:r>
      <w:r w:rsidRPr="00CB12C4">
        <w:rPr>
          <w:color w:val="000000"/>
          <w:lang w:val="sr-Latn-RS"/>
        </w:rPr>
        <w:t xml:space="preserve">да </w:t>
      </w:r>
      <w:r w:rsidRPr="00CB12C4">
        <w:rPr>
          <w:color w:val="000000"/>
          <w:lang w:val="sr-Cyrl-RS"/>
        </w:rPr>
        <w:t>извештавају о догађајима и темама од јавног интереса</w:t>
      </w:r>
      <w:r w:rsidRPr="00CB12C4">
        <w:rPr>
          <w:color w:val="000000"/>
          <w:lang w:val="sr-Latn-RS"/>
        </w:rPr>
        <w:t>;</w:t>
      </w:r>
    </w:p>
    <w:p w:rsidR="001B57DA" w:rsidRPr="00CB12C4" w:rsidRDefault="001B57DA" w:rsidP="001B57DA">
      <w:pPr>
        <w:numPr>
          <w:ilvl w:val="0"/>
          <w:numId w:val="46"/>
        </w:numPr>
        <w:jc w:val="both"/>
        <w:rPr>
          <w:color w:val="000000"/>
          <w:lang w:val="sr-Latn-RS"/>
        </w:rPr>
      </w:pPr>
      <w:r w:rsidRPr="00CB12C4">
        <w:rPr>
          <w:color w:val="000000"/>
          <w:lang w:val="sr-Cyrl-RS"/>
        </w:rPr>
        <w:t>плурализам: промовисати разноврсност медијских извора и перспектива како би се омогућио широк спектар информација и ставова</w:t>
      </w:r>
      <w:r w:rsidRPr="00CB12C4">
        <w:rPr>
          <w:color w:val="000000"/>
          <w:lang w:val="sr-Latn-RS"/>
        </w:rPr>
        <w:t>;</w:t>
      </w:r>
    </w:p>
    <w:p w:rsidR="001B57DA" w:rsidRPr="00CB12C4" w:rsidRDefault="001B57DA" w:rsidP="001B57DA">
      <w:pPr>
        <w:numPr>
          <w:ilvl w:val="0"/>
          <w:numId w:val="46"/>
        </w:numPr>
        <w:jc w:val="both"/>
        <w:rPr>
          <w:color w:val="000000"/>
          <w:lang w:val="sr-Latn-RS"/>
        </w:rPr>
      </w:pPr>
      <w:r w:rsidRPr="00CB12C4">
        <w:rPr>
          <w:color w:val="000000"/>
          <w:lang w:val="sr-Cyrl-RS"/>
        </w:rPr>
        <w:t>објективност и непристрасност: осигурати да новинарство буде објективно и непристрасно, те да извештавање буде засновано на чињеницама и истраживачком новинарству</w:t>
      </w:r>
      <w:r w:rsidRPr="00CB12C4">
        <w:rPr>
          <w:color w:val="000000"/>
          <w:lang w:val="sr-Latn-RS"/>
        </w:rPr>
        <w:t>;</w:t>
      </w:r>
    </w:p>
    <w:p w:rsidR="001B57DA" w:rsidRPr="00CB12C4" w:rsidRDefault="001B57DA" w:rsidP="001B57DA">
      <w:pPr>
        <w:numPr>
          <w:ilvl w:val="0"/>
          <w:numId w:val="46"/>
        </w:numPr>
        <w:jc w:val="both"/>
        <w:rPr>
          <w:color w:val="000000"/>
          <w:lang w:val="sr-Cyrl-RS"/>
        </w:rPr>
      </w:pPr>
      <w:r w:rsidRPr="00CB12C4">
        <w:rPr>
          <w:color w:val="000000"/>
          <w:lang w:val="sr-Cyrl-RS"/>
        </w:rPr>
        <w:t>транспарентност: обезбедити транспарентност у власништву и финансирању медија како би се спречили сукоби интереса и обезбедила одговорност</w:t>
      </w:r>
      <w:r w:rsidRPr="00CB12C4">
        <w:rPr>
          <w:color w:val="000000"/>
          <w:lang w:val="sr-Latn-RS"/>
        </w:rPr>
        <w:t>;</w:t>
      </w:r>
    </w:p>
    <w:p w:rsidR="001B57DA" w:rsidRPr="00CB12C4" w:rsidRDefault="001B57DA" w:rsidP="001B57DA">
      <w:pPr>
        <w:numPr>
          <w:ilvl w:val="0"/>
          <w:numId w:val="46"/>
        </w:numPr>
        <w:jc w:val="both"/>
        <w:rPr>
          <w:color w:val="000000"/>
          <w:lang w:val="sr-Latn-RS"/>
        </w:rPr>
      </w:pPr>
      <w:r w:rsidRPr="00CB12C4">
        <w:rPr>
          <w:color w:val="000000"/>
          <w:lang w:val="sr-Cyrl-RS"/>
        </w:rPr>
        <w:t>приступ информацијама: осигурати приступ информацијама за све грађане, укључујући и оне са посебним потребама, како би се подржала партиципативно друштво</w:t>
      </w:r>
      <w:r w:rsidRPr="00CB12C4">
        <w:rPr>
          <w:color w:val="000000"/>
          <w:lang w:val="sr-Latn-RS"/>
        </w:rPr>
        <w:t>:</w:t>
      </w:r>
    </w:p>
    <w:p w:rsidR="001B57DA" w:rsidRPr="00CB12C4" w:rsidRDefault="001B57DA" w:rsidP="001B57DA">
      <w:pPr>
        <w:numPr>
          <w:ilvl w:val="0"/>
          <w:numId w:val="46"/>
        </w:numPr>
        <w:jc w:val="both"/>
        <w:rPr>
          <w:color w:val="000000"/>
          <w:lang w:val="sr-Cyrl-RS"/>
        </w:rPr>
      </w:pPr>
      <w:r w:rsidRPr="00CB12C4">
        <w:rPr>
          <w:color w:val="000000"/>
          <w:lang w:val="sr-Cyrl-RS"/>
        </w:rPr>
        <w:t>етика новинарства: промовисати етичке стандарде новинарства и професионализам у раду новинара</w:t>
      </w:r>
      <w:r w:rsidRPr="00CB12C4">
        <w:rPr>
          <w:color w:val="000000"/>
          <w:lang w:val="sr-Latn-RS"/>
        </w:rPr>
        <w:t>;</w:t>
      </w:r>
    </w:p>
    <w:p w:rsidR="001B57DA" w:rsidRPr="00CB12C4" w:rsidRDefault="001B57DA" w:rsidP="001B57DA">
      <w:pPr>
        <w:numPr>
          <w:ilvl w:val="0"/>
          <w:numId w:val="46"/>
        </w:numPr>
        <w:jc w:val="both"/>
        <w:rPr>
          <w:color w:val="000000"/>
          <w:lang w:val="sr-Latn-RS"/>
        </w:rPr>
      </w:pPr>
      <w:r w:rsidRPr="00CB12C4">
        <w:rPr>
          <w:color w:val="000000"/>
          <w:lang w:val="sr-Cyrl-RS"/>
        </w:rPr>
        <w:t>заштита новинара: осигурати безбедност и заштиту новинара од претњи и насиља како би се охрабривало слободно извештавање</w:t>
      </w:r>
      <w:r w:rsidRPr="00CB12C4">
        <w:rPr>
          <w:color w:val="000000"/>
          <w:lang w:val="sr-Latn-RS"/>
        </w:rPr>
        <w:t>;</w:t>
      </w:r>
    </w:p>
    <w:p w:rsidR="001B57DA" w:rsidRPr="00CB12C4" w:rsidRDefault="001B57DA" w:rsidP="001B57DA">
      <w:pPr>
        <w:numPr>
          <w:ilvl w:val="0"/>
          <w:numId w:val="46"/>
        </w:numPr>
        <w:jc w:val="both"/>
        <w:rPr>
          <w:color w:val="000000"/>
          <w:lang w:val="sr-Latn-RS"/>
        </w:rPr>
      </w:pPr>
      <w:r w:rsidRPr="00CB12C4">
        <w:rPr>
          <w:color w:val="000000"/>
          <w:lang w:val="sr-Cyrl-RS"/>
        </w:rPr>
        <w:t>регулација и саморегулација: развити одговарајући оквир за регулацију медија, укључујући и механизме саморегулације, како би се очували високи стандарди новинарства и медијског плурализма</w:t>
      </w:r>
      <w:r w:rsidRPr="00CB12C4">
        <w:rPr>
          <w:color w:val="000000"/>
          <w:lang w:val="sr-Latn-RS"/>
        </w:rPr>
        <w:t>;</w:t>
      </w:r>
    </w:p>
    <w:p w:rsidR="001B57DA" w:rsidRPr="00CB12C4" w:rsidRDefault="001B57DA" w:rsidP="001B57DA">
      <w:pPr>
        <w:numPr>
          <w:ilvl w:val="0"/>
          <w:numId w:val="46"/>
        </w:numPr>
        <w:jc w:val="both"/>
        <w:rPr>
          <w:color w:val="000000"/>
          <w:lang w:val="sr-Cyrl-RS"/>
        </w:rPr>
      </w:pPr>
      <w:r w:rsidRPr="00CB12C4">
        <w:rPr>
          <w:color w:val="000000"/>
          <w:lang w:val="sr-Cyrl-RS"/>
        </w:rPr>
        <w:t xml:space="preserve">едукција грађана: едуковати грађане о медијској писмености како би били критички информисани и способни </w:t>
      </w:r>
      <w:r w:rsidRPr="00CB12C4">
        <w:rPr>
          <w:color w:val="000000"/>
          <w:lang w:val="sr-Latn-RS"/>
        </w:rPr>
        <w:t xml:space="preserve">да </w:t>
      </w:r>
      <w:r w:rsidRPr="00CB12C4">
        <w:rPr>
          <w:color w:val="000000"/>
          <w:lang w:val="sr-Cyrl-RS"/>
        </w:rPr>
        <w:t>разлик</w:t>
      </w:r>
      <w:r w:rsidRPr="00CB12C4">
        <w:rPr>
          <w:color w:val="000000"/>
          <w:lang w:val="sr-Latn-RS"/>
        </w:rPr>
        <w:t>ују</w:t>
      </w:r>
      <w:r w:rsidRPr="00CB12C4">
        <w:rPr>
          <w:color w:val="000000"/>
          <w:lang w:val="sr-Cyrl-RS"/>
        </w:rPr>
        <w:t xml:space="preserve"> поуздан</w:t>
      </w:r>
      <w:r w:rsidRPr="00CB12C4">
        <w:rPr>
          <w:color w:val="000000"/>
          <w:lang w:val="sr-Latn-RS"/>
        </w:rPr>
        <w:t>е</w:t>
      </w:r>
      <w:r w:rsidRPr="00CB12C4">
        <w:rPr>
          <w:color w:val="000000"/>
          <w:lang w:val="sr-Cyrl-RS"/>
        </w:rPr>
        <w:t xml:space="preserve"> од непоузданих извора информација</w:t>
      </w:r>
      <w:r w:rsidRPr="00CB12C4">
        <w:rPr>
          <w:color w:val="000000"/>
          <w:lang w:val="sr-Latn-RS"/>
        </w:rPr>
        <w:t>;</w:t>
      </w:r>
    </w:p>
    <w:p w:rsidR="001B57DA" w:rsidRPr="00CB12C4" w:rsidRDefault="001B57DA" w:rsidP="001B57DA">
      <w:pPr>
        <w:numPr>
          <w:ilvl w:val="0"/>
          <w:numId w:val="46"/>
        </w:numPr>
        <w:jc w:val="both"/>
        <w:rPr>
          <w:color w:val="000000"/>
          <w:lang w:val="sr-Cyrl-RS"/>
        </w:rPr>
      </w:pPr>
      <w:r w:rsidRPr="00CB12C4">
        <w:rPr>
          <w:color w:val="000000"/>
          <w:lang w:val="sr-Cyrl-RS"/>
        </w:rPr>
        <w:t>допринети јавном интересу: медији и новинарство треба да доприносе јавном интересу, информишу грађане о кључним питањима и служе као чувари демократије.</w:t>
      </w:r>
    </w:p>
    <w:p w:rsidR="001B57DA" w:rsidRPr="00CB12C4" w:rsidRDefault="001B57DA" w:rsidP="001B57DA">
      <w:pPr>
        <w:spacing w:after="150"/>
        <w:jc w:val="both"/>
        <w:rPr>
          <w:noProof/>
          <w:color w:val="000000"/>
          <w:sz w:val="16"/>
          <w:szCs w:val="16"/>
        </w:rPr>
      </w:pPr>
    </w:p>
    <w:p w:rsidR="001B57DA" w:rsidRPr="00CB12C4" w:rsidRDefault="001B57DA" w:rsidP="001B57DA">
      <w:pPr>
        <w:spacing w:after="150"/>
        <w:jc w:val="center"/>
        <w:rPr>
          <w:noProof/>
          <w:color w:val="000000"/>
        </w:rPr>
      </w:pPr>
      <w:r w:rsidRPr="00CB12C4">
        <w:rPr>
          <w:noProof/>
          <w:color w:val="000000"/>
        </w:rPr>
        <w:drawing>
          <wp:inline distT="0" distB="0" distL="0" distR="0" wp14:anchorId="6BE6AF4E" wp14:editId="0BE03ED2">
            <wp:extent cx="4450080" cy="3086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50080" cy="3086100"/>
                    </a:xfrm>
                    <a:prstGeom prst="rect">
                      <a:avLst/>
                    </a:prstGeom>
                    <a:noFill/>
                    <a:ln>
                      <a:noFill/>
                    </a:ln>
                  </pic:spPr>
                </pic:pic>
              </a:graphicData>
            </a:graphic>
          </wp:inline>
        </w:drawing>
      </w:r>
    </w:p>
    <w:p w:rsidR="001B57DA" w:rsidRPr="00CB12C4" w:rsidRDefault="001B57DA" w:rsidP="001B57DA">
      <w:pPr>
        <w:spacing w:after="150"/>
        <w:jc w:val="both"/>
        <w:rPr>
          <w:color w:val="000000"/>
          <w:lang w:val="sr-Cyrl-RS"/>
        </w:rPr>
      </w:pPr>
      <w:r w:rsidRPr="005C5D3B">
        <w:rPr>
          <w:i/>
          <w:noProof/>
          <w:color w:val="000000"/>
        </w:rPr>
        <w:t>Извор:</w:t>
      </w:r>
      <w:r w:rsidRPr="00CB12C4">
        <w:rPr>
          <w:noProof/>
          <w:color w:val="000000"/>
        </w:rPr>
        <w:t xml:space="preserve"> Медијска регулаторна тела и медијски плурализам - регионална публикација, Савет Европе 2021</w:t>
      </w:r>
    </w:p>
    <w:p w:rsidR="001B57DA" w:rsidRDefault="001B57DA" w:rsidP="001B57DA">
      <w:pPr>
        <w:spacing w:after="150"/>
        <w:ind w:firstLine="720"/>
        <w:jc w:val="both"/>
        <w:rPr>
          <w:color w:val="000000"/>
          <w:lang w:val="sr-Cyrl-RS"/>
        </w:rPr>
      </w:pPr>
    </w:p>
    <w:p w:rsidR="001B57DA" w:rsidRPr="00CB12C4" w:rsidRDefault="001B57DA" w:rsidP="001B57DA">
      <w:pPr>
        <w:spacing w:after="150"/>
        <w:ind w:firstLine="720"/>
        <w:jc w:val="both"/>
        <w:rPr>
          <w:highlight w:val="cyan"/>
        </w:rPr>
      </w:pPr>
      <w:r w:rsidRPr="00CB12C4">
        <w:rPr>
          <w:color w:val="000000"/>
          <w:lang w:val="sr-Cyrl-RS"/>
        </w:rPr>
        <w:lastRenderedPageBreak/>
        <w:t>Општи циљ се стварује кроз посебне циљеве:</w:t>
      </w:r>
    </w:p>
    <w:p w:rsidR="001B57DA" w:rsidRPr="00CB12C4" w:rsidRDefault="001B57DA" w:rsidP="001B57DA">
      <w:pPr>
        <w:numPr>
          <w:ilvl w:val="0"/>
          <w:numId w:val="40"/>
        </w:numPr>
        <w:jc w:val="both"/>
      </w:pPr>
      <w:r w:rsidRPr="00CB12C4">
        <w:rPr>
          <w:color w:val="000000"/>
        </w:rPr>
        <w:t>побољшане безбедносне, социо-економске и професионалне услове за рад новинара и медијских радника;</w:t>
      </w:r>
    </w:p>
    <w:p w:rsidR="001B57DA" w:rsidRPr="00CB12C4" w:rsidRDefault="001B57DA" w:rsidP="001B57DA">
      <w:pPr>
        <w:numPr>
          <w:ilvl w:val="0"/>
          <w:numId w:val="40"/>
        </w:numPr>
        <w:jc w:val="both"/>
      </w:pPr>
      <w:r w:rsidRPr="00CB12C4">
        <w:rPr>
          <w:color w:val="000000"/>
        </w:rPr>
        <w:t>функционалне, компетентне, професионалне и отворене институције располажу механизмима заштите од спољних притисака и доследно примењују јавне политике и прописе;</w:t>
      </w:r>
    </w:p>
    <w:p w:rsidR="001B57DA" w:rsidRPr="00CB12C4" w:rsidRDefault="001B57DA" w:rsidP="001B57DA">
      <w:pPr>
        <w:numPr>
          <w:ilvl w:val="0"/>
          <w:numId w:val="40"/>
        </w:numPr>
        <w:jc w:val="both"/>
      </w:pPr>
      <w:r w:rsidRPr="00CB12C4">
        <w:rPr>
          <w:color w:val="000000"/>
        </w:rPr>
        <w:t>квалитетни, плурални и разноврсни медијски садржаји задовољавају потребе за информисањем различитих друштвених група;</w:t>
      </w:r>
    </w:p>
    <w:p w:rsidR="001B57DA" w:rsidRPr="00CB12C4" w:rsidRDefault="001B57DA" w:rsidP="001B57DA">
      <w:pPr>
        <w:numPr>
          <w:ilvl w:val="0"/>
          <w:numId w:val="40"/>
        </w:numPr>
        <w:jc w:val="both"/>
      </w:pPr>
      <w:r w:rsidRPr="00CB12C4">
        <w:rPr>
          <w:lang w:val="sr-Cyrl-RS"/>
        </w:rPr>
        <w:t xml:space="preserve">остварена загарантована </w:t>
      </w:r>
      <w:r w:rsidRPr="00CB12C4">
        <w:rPr>
          <w:lang w:val="sr-Cyrl-CS"/>
        </w:rPr>
        <w:t>слобода јавног информисања;</w:t>
      </w:r>
    </w:p>
    <w:p w:rsidR="001B57DA" w:rsidRPr="00CB12C4" w:rsidRDefault="001B57DA" w:rsidP="001B57DA">
      <w:pPr>
        <w:numPr>
          <w:ilvl w:val="0"/>
          <w:numId w:val="40"/>
        </w:numPr>
        <w:jc w:val="both"/>
        <w:rPr>
          <w:lang w:val="sr-Cyrl-CS"/>
        </w:rPr>
      </w:pPr>
      <w:r w:rsidRPr="00CB12C4">
        <w:rPr>
          <w:lang w:val="sr-Cyrl-RS"/>
        </w:rPr>
        <w:t xml:space="preserve">у пуној примени је </w:t>
      </w:r>
      <w:r w:rsidRPr="00CB12C4">
        <w:rPr>
          <w:lang w:val="sr-Cyrl-CS"/>
        </w:rPr>
        <w:t>информисање о питањима од интереса за јавност (питања о којима јавност има оправдан интерес да зна);</w:t>
      </w:r>
    </w:p>
    <w:p w:rsidR="001B57DA" w:rsidRPr="00CB12C4" w:rsidRDefault="001B57DA" w:rsidP="001B57DA">
      <w:pPr>
        <w:numPr>
          <w:ilvl w:val="0"/>
          <w:numId w:val="40"/>
        </w:numPr>
        <w:jc w:val="both"/>
        <w:rPr>
          <w:lang w:val="sr-Cyrl-CS"/>
        </w:rPr>
      </w:pPr>
      <w:r w:rsidRPr="00CB12C4">
        <w:rPr>
          <w:lang w:val="sr-Cyrl-CS"/>
        </w:rPr>
        <w:t xml:space="preserve">остварена заштита медијског плурализма и забрана монопола у области јавног информисања. </w:t>
      </w:r>
    </w:p>
    <w:p w:rsidR="001B57DA" w:rsidRPr="00CB12C4" w:rsidRDefault="001B57DA" w:rsidP="001B57DA">
      <w:pPr>
        <w:jc w:val="both"/>
        <w:rPr>
          <w:lang w:val="sr-Cyrl-CS"/>
        </w:rPr>
      </w:pPr>
    </w:p>
    <w:p w:rsidR="001B57DA" w:rsidRPr="00CB12C4" w:rsidRDefault="001B57DA" w:rsidP="001B57DA">
      <w:pPr>
        <w:jc w:val="center"/>
        <w:rPr>
          <w:b/>
          <w:lang w:val="sr-Cyrl-CS"/>
        </w:rPr>
      </w:pPr>
      <w:r w:rsidRPr="00CB12C4">
        <w:rPr>
          <w:b/>
          <w:lang w:val="sr-Cyrl-CS"/>
        </w:rPr>
        <w:t>Показатељи за мерење остварења циљева</w:t>
      </w:r>
    </w:p>
    <w:p w:rsidR="001B57DA" w:rsidRPr="00CB12C4" w:rsidRDefault="001B57DA" w:rsidP="001B57DA">
      <w:pPr>
        <w:jc w:val="both"/>
        <w:rPr>
          <w:lang w:val="sr-Cyrl-CS"/>
        </w:rPr>
      </w:pPr>
    </w:p>
    <w:tbl>
      <w:tblPr>
        <w:tblW w:w="9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8"/>
        <w:gridCol w:w="3622"/>
        <w:gridCol w:w="2919"/>
      </w:tblGrid>
      <w:tr w:rsidR="001B57DA" w:rsidRPr="00CB12C4" w:rsidTr="00BF787F">
        <w:trPr>
          <w:trHeight w:val="377"/>
        </w:trPr>
        <w:tc>
          <w:tcPr>
            <w:tcW w:w="3258" w:type="dxa"/>
            <w:tcBorders>
              <w:top w:val="double" w:sz="4" w:space="0" w:color="auto"/>
            </w:tcBorders>
            <w:shd w:val="clear" w:color="auto" w:fill="D9D9D9"/>
          </w:tcPr>
          <w:p w:rsidR="001B57DA" w:rsidRPr="00CB12C4" w:rsidRDefault="001B57DA" w:rsidP="00BF787F">
            <w:pPr>
              <w:jc w:val="center"/>
              <w:rPr>
                <w:b/>
                <w:lang w:val="sr-Cyrl-RS"/>
              </w:rPr>
            </w:pPr>
            <w:r w:rsidRPr="00CB12C4">
              <w:rPr>
                <w:b/>
                <w:lang w:val="sr-Cyrl-RS"/>
              </w:rPr>
              <w:t xml:space="preserve">Показатељ (и) на нивоу </w:t>
            </w:r>
            <w:r w:rsidRPr="00CB12C4">
              <w:rPr>
                <w:b/>
                <w:lang w:val="sr-Latn-RS"/>
              </w:rPr>
              <w:t>o</w:t>
            </w:r>
            <w:r w:rsidRPr="00CB12C4">
              <w:rPr>
                <w:b/>
                <w:lang w:val="sr-Cyrl-RS"/>
              </w:rPr>
              <w:t xml:space="preserve">пштег циља (показатељ </w:t>
            </w:r>
            <w:r w:rsidRPr="00CB12C4">
              <w:rPr>
                <w:b/>
              </w:rPr>
              <w:t>e</w:t>
            </w:r>
            <w:r w:rsidRPr="00CB12C4">
              <w:rPr>
                <w:b/>
                <w:lang w:val="sr-Cyrl-RS"/>
              </w:rPr>
              <w:t>фекта)</w:t>
            </w:r>
          </w:p>
        </w:tc>
        <w:tc>
          <w:tcPr>
            <w:tcW w:w="3622" w:type="dxa"/>
            <w:tcBorders>
              <w:top w:val="double" w:sz="4" w:space="0" w:color="auto"/>
            </w:tcBorders>
            <w:shd w:val="clear" w:color="auto" w:fill="D9D9D9"/>
          </w:tcPr>
          <w:p w:rsidR="001B57DA" w:rsidRPr="00CB12C4" w:rsidRDefault="001B57DA" w:rsidP="00BF787F">
            <w:pPr>
              <w:jc w:val="center"/>
              <w:rPr>
                <w:b/>
                <w:lang w:val="sr-Cyrl-RS"/>
              </w:rPr>
            </w:pPr>
            <w:r w:rsidRPr="00CB12C4">
              <w:rPr>
                <w:b/>
              </w:rPr>
              <w:t>J</w:t>
            </w:r>
            <w:r w:rsidRPr="00CB12C4">
              <w:rPr>
                <w:b/>
                <w:lang w:val="sr-Cyrl-RS"/>
              </w:rPr>
              <w:t>единица мере</w:t>
            </w:r>
          </w:p>
          <w:p w:rsidR="001B57DA" w:rsidRPr="00CB12C4" w:rsidRDefault="001B57DA" w:rsidP="00BF787F">
            <w:pPr>
              <w:jc w:val="center"/>
              <w:rPr>
                <w:b/>
              </w:rPr>
            </w:pPr>
          </w:p>
        </w:tc>
        <w:tc>
          <w:tcPr>
            <w:tcW w:w="2919" w:type="dxa"/>
            <w:tcBorders>
              <w:top w:val="double" w:sz="4" w:space="0" w:color="auto"/>
            </w:tcBorders>
            <w:shd w:val="clear" w:color="auto" w:fill="D9D9D9"/>
          </w:tcPr>
          <w:p w:rsidR="001B57DA" w:rsidRPr="00CB12C4" w:rsidRDefault="001B57DA" w:rsidP="00BF787F">
            <w:pPr>
              <w:jc w:val="center"/>
              <w:rPr>
                <w:b/>
                <w:lang w:val="sr-Cyrl-RS"/>
              </w:rPr>
            </w:pPr>
            <w:r w:rsidRPr="00CB12C4">
              <w:rPr>
                <w:b/>
                <w:lang w:val="sr-Cyrl-RS"/>
              </w:rPr>
              <w:t>Извор провере</w:t>
            </w:r>
          </w:p>
          <w:p w:rsidR="001B57DA" w:rsidRPr="00CB12C4" w:rsidRDefault="001B57DA" w:rsidP="00BF787F">
            <w:pPr>
              <w:tabs>
                <w:tab w:val="left" w:pos="1400"/>
              </w:tabs>
              <w:jc w:val="center"/>
              <w:rPr>
                <w:b/>
                <w:lang w:val="sr-Cyrl-RS"/>
              </w:rPr>
            </w:pPr>
          </w:p>
          <w:p w:rsidR="001B57DA" w:rsidRPr="00CB12C4" w:rsidRDefault="001B57DA" w:rsidP="00BF787F">
            <w:pPr>
              <w:tabs>
                <w:tab w:val="left" w:pos="1400"/>
              </w:tabs>
              <w:jc w:val="center"/>
              <w:rPr>
                <w:b/>
                <w:lang w:val="sr-Cyrl-RS"/>
              </w:rPr>
            </w:pPr>
          </w:p>
        </w:tc>
      </w:tr>
      <w:tr w:rsidR="001B57DA" w:rsidRPr="00CB12C4" w:rsidTr="00BF787F">
        <w:trPr>
          <w:trHeight w:val="176"/>
        </w:trPr>
        <w:tc>
          <w:tcPr>
            <w:tcW w:w="3258" w:type="dxa"/>
            <w:tcBorders>
              <w:top w:val="double" w:sz="4" w:space="0" w:color="auto"/>
              <w:bottom w:val="double" w:sz="4" w:space="0" w:color="auto"/>
            </w:tcBorders>
            <w:shd w:val="clear" w:color="auto" w:fill="FFFFFF"/>
          </w:tcPr>
          <w:p w:rsidR="001B57DA" w:rsidRPr="006F1C1D" w:rsidRDefault="001B57DA" w:rsidP="00BF787F">
            <w:pPr>
              <w:shd w:val="clear" w:color="auto" w:fill="FFFFFF"/>
              <w:rPr>
                <w:lang w:val="sr-Cyrl-RS"/>
              </w:rPr>
            </w:pPr>
            <w:r w:rsidRPr="006F1C1D">
              <w:rPr>
                <w:lang w:val="sr-Cyrl-RS"/>
              </w:rPr>
              <w:t>Број медија са бројем новооснованих медија</w:t>
            </w:r>
          </w:p>
        </w:tc>
        <w:tc>
          <w:tcPr>
            <w:tcW w:w="3622" w:type="dxa"/>
            <w:tcBorders>
              <w:top w:val="double" w:sz="4" w:space="0" w:color="auto"/>
              <w:bottom w:val="double" w:sz="4" w:space="0" w:color="auto"/>
            </w:tcBorders>
            <w:shd w:val="clear" w:color="auto" w:fill="FFFFFF"/>
          </w:tcPr>
          <w:p w:rsidR="001B57DA" w:rsidRPr="006F1C1D" w:rsidRDefault="001B57DA" w:rsidP="00BF787F">
            <w:pPr>
              <w:shd w:val="clear" w:color="auto" w:fill="FFFFFF"/>
              <w:rPr>
                <w:lang w:val="sr-Cyrl-RS"/>
              </w:rPr>
            </w:pPr>
            <w:r w:rsidRPr="006F1C1D">
              <w:rPr>
                <w:lang w:val="sr-Cyrl-RS"/>
              </w:rPr>
              <w:t>број</w:t>
            </w:r>
          </w:p>
          <w:p w:rsidR="001B57DA" w:rsidRPr="00417BFE" w:rsidRDefault="001B57DA" w:rsidP="00BF787F">
            <w:pPr>
              <w:shd w:val="clear" w:color="auto" w:fill="FFFFFF"/>
              <w:jc w:val="both"/>
              <w:rPr>
                <w:lang w:val="sr-Cyrl-RS"/>
              </w:rPr>
            </w:pPr>
            <w:r w:rsidRPr="00417BFE">
              <w:rPr>
                <w:lang w:val="sr-Cyrl-RS"/>
              </w:rPr>
              <w:t>*пројекција тенденције раста</w:t>
            </w:r>
          </w:p>
        </w:tc>
        <w:tc>
          <w:tcPr>
            <w:tcW w:w="2919" w:type="dxa"/>
            <w:tcBorders>
              <w:top w:val="double" w:sz="4" w:space="0" w:color="auto"/>
              <w:bottom w:val="double" w:sz="4" w:space="0" w:color="auto"/>
            </w:tcBorders>
            <w:shd w:val="clear" w:color="auto" w:fill="FFFFFF"/>
          </w:tcPr>
          <w:p w:rsidR="001B57DA" w:rsidRPr="00417BFE" w:rsidRDefault="001B57DA" w:rsidP="00BF787F">
            <w:pPr>
              <w:shd w:val="clear" w:color="auto" w:fill="FFFFFF"/>
              <w:rPr>
                <w:lang w:val="sr-Cyrl-RS"/>
              </w:rPr>
            </w:pPr>
            <w:r w:rsidRPr="00417BFE">
              <w:rPr>
                <w:lang w:val="sr-Cyrl-RS"/>
              </w:rPr>
              <w:t>Агенција за привредне регистре</w:t>
            </w:r>
          </w:p>
          <w:p w:rsidR="001B57DA" w:rsidRPr="00417BFE" w:rsidRDefault="001B57DA" w:rsidP="00BF787F">
            <w:pPr>
              <w:shd w:val="clear" w:color="auto" w:fill="FFFFFF"/>
              <w:rPr>
                <w:lang w:val="sr-Cyrl-RS"/>
              </w:rPr>
            </w:pPr>
            <w:r w:rsidRPr="00417BFE">
              <w:rPr>
                <w:lang w:val="sr-Cyrl-RS"/>
              </w:rPr>
              <w:t>Министарство информисања и телекомуникација</w:t>
            </w:r>
          </w:p>
        </w:tc>
      </w:tr>
      <w:tr w:rsidR="001B57DA" w:rsidRPr="00CB12C4" w:rsidTr="00BF787F">
        <w:trPr>
          <w:trHeight w:val="176"/>
        </w:trPr>
        <w:tc>
          <w:tcPr>
            <w:tcW w:w="3258"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sidRPr="00CB12C4">
              <w:rPr>
                <w:lang w:val="sr-Cyrl-RS"/>
              </w:rPr>
              <w:t>Кривична дела, пријављена тужилаштву, а која су уперена против новинара и медијских радника</w:t>
            </w:r>
          </w:p>
        </w:tc>
        <w:tc>
          <w:tcPr>
            <w:tcW w:w="3622"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Pr>
                <w:lang w:val="sr-Cyrl-RS"/>
              </w:rPr>
              <w:t>б</w:t>
            </w:r>
            <w:r w:rsidRPr="00CB12C4">
              <w:rPr>
                <w:lang w:val="sr-Cyrl-RS"/>
              </w:rPr>
              <w:t>рој</w:t>
            </w:r>
          </w:p>
        </w:tc>
        <w:tc>
          <w:tcPr>
            <w:tcW w:w="2919"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sidRPr="00CB12C4">
              <w:rPr>
                <w:lang w:val="sr-Cyrl-RS"/>
              </w:rPr>
              <w:t>Извештај Републичког јавног тужилаштва</w:t>
            </w:r>
          </w:p>
        </w:tc>
      </w:tr>
      <w:tr w:rsidR="001B57DA" w:rsidRPr="00CB12C4" w:rsidTr="00BF787F">
        <w:trPr>
          <w:trHeight w:val="176"/>
        </w:trPr>
        <w:tc>
          <w:tcPr>
            <w:tcW w:w="3258"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sidRPr="00CB12C4">
              <w:rPr>
                <w:lang w:val="sr-Cyrl-RS"/>
              </w:rPr>
              <w:t>Број новинара изложен претњи и насиљу</w:t>
            </w:r>
          </w:p>
        </w:tc>
        <w:tc>
          <w:tcPr>
            <w:tcW w:w="3622"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Pr>
                <w:lang w:val="sr-Cyrl-RS"/>
              </w:rPr>
              <w:t>б</w:t>
            </w:r>
            <w:r w:rsidRPr="00CB12C4">
              <w:rPr>
                <w:lang w:val="sr-Cyrl-RS"/>
              </w:rPr>
              <w:t>рој</w:t>
            </w:r>
          </w:p>
        </w:tc>
        <w:tc>
          <w:tcPr>
            <w:tcW w:w="2919"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sidRPr="00CB12C4">
              <w:rPr>
                <w:lang w:val="sr-Cyrl-RS"/>
              </w:rPr>
              <w:t>Регионална база података напада на новинаре</w:t>
            </w:r>
          </w:p>
        </w:tc>
      </w:tr>
      <w:tr w:rsidR="001B57DA" w:rsidRPr="00CB12C4" w:rsidTr="00BF787F">
        <w:trPr>
          <w:trHeight w:val="304"/>
        </w:trPr>
        <w:tc>
          <w:tcPr>
            <w:tcW w:w="3258" w:type="dxa"/>
            <w:shd w:val="clear" w:color="auto" w:fill="auto"/>
          </w:tcPr>
          <w:p w:rsidR="001B57DA" w:rsidRPr="00CB12C4" w:rsidRDefault="001B57DA" w:rsidP="00BF787F">
            <w:pPr>
              <w:autoSpaceDE w:val="0"/>
              <w:autoSpaceDN w:val="0"/>
              <w:adjustRightInd w:val="0"/>
            </w:pPr>
            <w:r w:rsidRPr="00CB12C4">
              <w:t>обезбеђен механизам за анализу и праћење тржишта рада радно ангажованих у</w:t>
            </w:r>
          </w:p>
          <w:p w:rsidR="001B57DA" w:rsidRPr="00CB12C4" w:rsidRDefault="001B57DA" w:rsidP="00BF787F">
            <w:pPr>
              <w:shd w:val="clear" w:color="auto" w:fill="FFFFFF"/>
              <w:rPr>
                <w:sz w:val="20"/>
                <w:szCs w:val="20"/>
                <w:lang w:val="sr-Cyrl-RS"/>
              </w:rPr>
            </w:pPr>
            <w:r w:rsidRPr="00CB12C4">
              <w:t>медијском сектору, разврстано према полу</w:t>
            </w:r>
          </w:p>
        </w:tc>
        <w:tc>
          <w:tcPr>
            <w:tcW w:w="3622" w:type="dxa"/>
            <w:shd w:val="clear" w:color="auto" w:fill="auto"/>
          </w:tcPr>
          <w:p w:rsidR="001B57DA" w:rsidRPr="00CB12C4" w:rsidRDefault="001B57DA" w:rsidP="00BF787F">
            <w:pPr>
              <w:shd w:val="clear" w:color="auto" w:fill="FFFFFF"/>
              <w:rPr>
                <w:lang w:val="sr-Cyrl-RS"/>
              </w:rPr>
            </w:pPr>
            <w:r w:rsidRPr="00CB12C4">
              <w:rPr>
                <w:lang w:val="sr-Cyrl-RS"/>
              </w:rPr>
              <w:t>ДА/НЕ</w:t>
            </w:r>
          </w:p>
        </w:tc>
        <w:tc>
          <w:tcPr>
            <w:tcW w:w="2919" w:type="dxa"/>
            <w:shd w:val="clear" w:color="auto" w:fill="auto"/>
          </w:tcPr>
          <w:p w:rsidR="001B57DA" w:rsidRPr="00CB12C4" w:rsidRDefault="001B57DA" w:rsidP="00BF787F">
            <w:pPr>
              <w:shd w:val="clear" w:color="auto" w:fill="FFFFFF"/>
            </w:pPr>
            <w:r w:rsidRPr="00CB12C4">
              <w:rPr>
                <w:lang w:val="sr-Cyrl-RS"/>
              </w:rPr>
              <w:t>Извештаји: Републичког завода за статистику</w:t>
            </w:r>
            <w:r w:rsidRPr="00CB12C4">
              <w:t>,</w:t>
            </w:r>
            <w:r w:rsidRPr="00CB12C4">
              <w:rPr>
                <w:lang w:val="sr-Cyrl-RS"/>
              </w:rPr>
              <w:t xml:space="preserve"> новинарских синдиката и новинарских удружења</w:t>
            </w:r>
            <w:r w:rsidRPr="00CB12C4">
              <w:t xml:space="preserve"> </w:t>
            </w:r>
          </w:p>
        </w:tc>
      </w:tr>
      <w:tr w:rsidR="001B57DA" w:rsidRPr="00CB12C4" w:rsidTr="00BF787F">
        <w:trPr>
          <w:trHeight w:val="304"/>
        </w:trPr>
        <w:tc>
          <w:tcPr>
            <w:tcW w:w="3258" w:type="dxa"/>
            <w:shd w:val="clear" w:color="auto" w:fill="auto"/>
          </w:tcPr>
          <w:p w:rsidR="001B57DA" w:rsidRPr="00CB12C4" w:rsidRDefault="001B57DA" w:rsidP="00BF787F">
            <w:pPr>
              <w:autoSpaceDE w:val="0"/>
              <w:autoSpaceDN w:val="0"/>
              <w:adjustRightInd w:val="0"/>
            </w:pPr>
            <w:r w:rsidRPr="00CB12C4">
              <w:t>број синдикално организованих новинара и медијских радника</w:t>
            </w:r>
            <w:r w:rsidRPr="00CB12C4">
              <w:rPr>
                <w:lang w:val="sr-Cyrl-RS"/>
              </w:rPr>
              <w:t xml:space="preserve"> </w:t>
            </w:r>
          </w:p>
        </w:tc>
        <w:tc>
          <w:tcPr>
            <w:tcW w:w="3622" w:type="dxa"/>
            <w:shd w:val="clear" w:color="auto" w:fill="auto"/>
          </w:tcPr>
          <w:p w:rsidR="001B57DA" w:rsidRPr="00CB12C4" w:rsidRDefault="001B57DA" w:rsidP="00BF787F">
            <w:pPr>
              <w:shd w:val="clear" w:color="auto" w:fill="FFFFFF"/>
              <w:rPr>
                <w:lang w:val="sr-Cyrl-RS"/>
              </w:rPr>
            </w:pPr>
            <w:r w:rsidRPr="00CB12C4">
              <w:rPr>
                <w:lang w:val="sr-Cyrl-RS"/>
              </w:rPr>
              <w:t>Број</w:t>
            </w:r>
          </w:p>
        </w:tc>
        <w:tc>
          <w:tcPr>
            <w:tcW w:w="2919" w:type="dxa"/>
            <w:shd w:val="clear" w:color="auto" w:fill="auto"/>
          </w:tcPr>
          <w:p w:rsidR="001B57DA" w:rsidRPr="00CB12C4" w:rsidRDefault="001B57DA" w:rsidP="00BF787F">
            <w:pPr>
              <w:shd w:val="clear" w:color="auto" w:fill="FFFFFF"/>
            </w:pPr>
            <w:r w:rsidRPr="00CB12C4">
              <w:rPr>
                <w:lang w:val="sr-Cyrl-RS"/>
              </w:rPr>
              <w:t>Извештаји: Министарства за рад, запошљавање, борачка и социјална питања</w:t>
            </w:r>
            <w:r w:rsidRPr="00CB12C4">
              <w:t xml:space="preserve"> и</w:t>
            </w:r>
            <w:r w:rsidRPr="00CB12C4">
              <w:rPr>
                <w:lang w:val="sr-Cyrl-RS"/>
              </w:rPr>
              <w:t xml:space="preserve"> новинарских синдиката</w:t>
            </w:r>
            <w:r w:rsidRPr="00CB12C4">
              <w:t xml:space="preserve"> </w:t>
            </w:r>
          </w:p>
        </w:tc>
      </w:tr>
      <w:tr w:rsidR="001B57DA" w:rsidRPr="00CB12C4" w:rsidTr="00BF787F">
        <w:trPr>
          <w:trHeight w:val="304"/>
        </w:trPr>
        <w:tc>
          <w:tcPr>
            <w:tcW w:w="3258" w:type="dxa"/>
            <w:shd w:val="clear" w:color="auto" w:fill="auto"/>
          </w:tcPr>
          <w:p w:rsidR="001B57DA" w:rsidRPr="00CB12C4" w:rsidRDefault="001B57DA" w:rsidP="00BF787F">
            <w:pPr>
              <w:autoSpaceDE w:val="0"/>
              <w:autoSpaceDN w:val="0"/>
              <w:adjustRightInd w:val="0"/>
            </w:pPr>
            <w:r w:rsidRPr="00CB12C4">
              <w:t>број</w:t>
            </w:r>
            <w:r w:rsidRPr="00CB12C4">
              <w:rPr>
                <w:lang w:val="sr-Cyrl-RS"/>
              </w:rPr>
              <w:t xml:space="preserve"> </w:t>
            </w:r>
            <w:r w:rsidRPr="00CB12C4">
              <w:t>и репрезентативност послодавачких организација издавача медија</w:t>
            </w:r>
          </w:p>
        </w:tc>
        <w:tc>
          <w:tcPr>
            <w:tcW w:w="3622" w:type="dxa"/>
            <w:shd w:val="clear" w:color="auto" w:fill="auto"/>
          </w:tcPr>
          <w:p w:rsidR="001B57DA" w:rsidRPr="00CB12C4" w:rsidRDefault="001B57DA" w:rsidP="00BF787F">
            <w:pPr>
              <w:shd w:val="clear" w:color="auto" w:fill="FFFFFF"/>
              <w:rPr>
                <w:lang w:val="sr-Cyrl-RS"/>
              </w:rPr>
            </w:pPr>
            <w:r w:rsidRPr="00CB12C4">
              <w:rPr>
                <w:lang w:val="sr-Cyrl-RS"/>
              </w:rPr>
              <w:t>Број</w:t>
            </w:r>
          </w:p>
        </w:tc>
        <w:tc>
          <w:tcPr>
            <w:tcW w:w="2919" w:type="dxa"/>
            <w:shd w:val="clear" w:color="auto" w:fill="auto"/>
          </w:tcPr>
          <w:p w:rsidR="001B57DA" w:rsidRPr="00CB12C4" w:rsidRDefault="001B57DA" w:rsidP="00BF787F">
            <w:pPr>
              <w:shd w:val="clear" w:color="auto" w:fill="FFFFFF"/>
              <w:rPr>
                <w:lang w:val="sr-Cyrl-RS"/>
              </w:rPr>
            </w:pPr>
            <w:r w:rsidRPr="00CB12C4">
              <w:rPr>
                <w:lang w:val="sr-Cyrl-RS"/>
              </w:rPr>
              <w:t>Извештај Министарства за рад, запошљавање, борачка и социјална питања</w:t>
            </w:r>
          </w:p>
        </w:tc>
      </w:tr>
      <w:tr w:rsidR="001B57DA" w:rsidRPr="00CB12C4" w:rsidTr="00BF787F">
        <w:trPr>
          <w:trHeight w:val="304"/>
        </w:trPr>
        <w:tc>
          <w:tcPr>
            <w:tcW w:w="3258" w:type="dxa"/>
            <w:shd w:val="clear" w:color="auto" w:fill="auto"/>
          </w:tcPr>
          <w:p w:rsidR="001B57DA" w:rsidRPr="00CB12C4" w:rsidRDefault="001B57DA" w:rsidP="00BF787F">
            <w:pPr>
              <w:autoSpaceDE w:val="0"/>
              <w:autoSpaceDN w:val="0"/>
              <w:adjustRightInd w:val="0"/>
            </w:pPr>
            <w:r w:rsidRPr="00CB12C4">
              <w:t>социјално-економски дијалог ради потписивања гранског колективног уговора</w:t>
            </w:r>
          </w:p>
          <w:p w:rsidR="001B57DA" w:rsidRPr="00CB12C4" w:rsidRDefault="001B57DA" w:rsidP="00BF787F">
            <w:pPr>
              <w:autoSpaceDE w:val="0"/>
              <w:autoSpaceDN w:val="0"/>
              <w:adjustRightInd w:val="0"/>
            </w:pPr>
            <w:r w:rsidRPr="00CB12C4">
              <w:t>успостављен</w:t>
            </w:r>
          </w:p>
        </w:tc>
        <w:tc>
          <w:tcPr>
            <w:tcW w:w="3622" w:type="dxa"/>
            <w:shd w:val="clear" w:color="auto" w:fill="auto"/>
          </w:tcPr>
          <w:p w:rsidR="001B57DA" w:rsidRPr="00CB12C4" w:rsidRDefault="001B57DA" w:rsidP="00BF787F">
            <w:pPr>
              <w:shd w:val="clear" w:color="auto" w:fill="FFFFFF"/>
              <w:rPr>
                <w:lang w:val="sr-Cyrl-RS"/>
              </w:rPr>
            </w:pPr>
            <w:r w:rsidRPr="00CB12C4">
              <w:rPr>
                <w:lang w:val="sr-Cyrl-RS"/>
              </w:rPr>
              <w:t>ДА/НЕ</w:t>
            </w:r>
          </w:p>
        </w:tc>
        <w:tc>
          <w:tcPr>
            <w:tcW w:w="2919" w:type="dxa"/>
            <w:shd w:val="clear" w:color="auto" w:fill="auto"/>
          </w:tcPr>
          <w:p w:rsidR="001B57DA" w:rsidRPr="00CB12C4" w:rsidRDefault="001B57DA" w:rsidP="001B57DA">
            <w:pPr>
              <w:shd w:val="clear" w:color="auto" w:fill="FFFFFF"/>
            </w:pPr>
            <w:r w:rsidRPr="00CB12C4">
              <w:rPr>
                <w:lang w:val="sr-Cyrl-RS"/>
              </w:rPr>
              <w:t xml:space="preserve">Извештаји: </w:t>
            </w:r>
            <w:r w:rsidRPr="001B57DA">
              <w:rPr>
                <w:lang w:val="sr-Cyrl-RS"/>
              </w:rPr>
              <w:t>Министарство информисања и телекомуникација</w:t>
            </w:r>
            <w:r w:rsidRPr="00CB12C4">
              <w:t>,</w:t>
            </w:r>
            <w:r w:rsidRPr="00CB12C4">
              <w:rPr>
                <w:lang w:val="sr-Cyrl-RS"/>
              </w:rPr>
              <w:t xml:space="preserve"> новинарских и медијских синдиката</w:t>
            </w:r>
            <w:r w:rsidRPr="00CB12C4">
              <w:t xml:space="preserve"> </w:t>
            </w:r>
          </w:p>
        </w:tc>
      </w:tr>
      <w:tr w:rsidR="001B57DA" w:rsidRPr="00CB12C4" w:rsidTr="00BF787F">
        <w:trPr>
          <w:trHeight w:val="304"/>
        </w:trPr>
        <w:tc>
          <w:tcPr>
            <w:tcW w:w="3258" w:type="dxa"/>
            <w:shd w:val="clear" w:color="auto" w:fill="auto"/>
          </w:tcPr>
          <w:p w:rsidR="001B57DA" w:rsidRPr="00CB12C4" w:rsidRDefault="001B57DA" w:rsidP="00BF787F">
            <w:pPr>
              <w:autoSpaceDE w:val="0"/>
              <w:autoSpaceDN w:val="0"/>
              <w:adjustRightInd w:val="0"/>
            </w:pPr>
            <w:r w:rsidRPr="00CB12C4">
              <w:lastRenderedPageBreak/>
              <w:t>грански колективни уговор потписан</w:t>
            </w:r>
          </w:p>
        </w:tc>
        <w:tc>
          <w:tcPr>
            <w:tcW w:w="3622" w:type="dxa"/>
            <w:shd w:val="clear" w:color="auto" w:fill="auto"/>
          </w:tcPr>
          <w:p w:rsidR="001B57DA" w:rsidRPr="00CB12C4" w:rsidRDefault="001B57DA" w:rsidP="00BF787F">
            <w:pPr>
              <w:shd w:val="clear" w:color="auto" w:fill="FFFFFF"/>
              <w:rPr>
                <w:lang w:val="sr-Cyrl-RS"/>
              </w:rPr>
            </w:pPr>
            <w:r w:rsidRPr="00CB12C4">
              <w:t>ДА/НЕ</w:t>
            </w:r>
          </w:p>
        </w:tc>
        <w:tc>
          <w:tcPr>
            <w:tcW w:w="2919" w:type="dxa"/>
            <w:shd w:val="clear" w:color="auto" w:fill="auto"/>
          </w:tcPr>
          <w:p w:rsidR="001B57DA" w:rsidRPr="00CB12C4" w:rsidRDefault="001B57DA" w:rsidP="00BF787F">
            <w:pPr>
              <w:shd w:val="clear" w:color="auto" w:fill="FFFFFF"/>
              <w:rPr>
                <w:lang w:val="sr-Cyrl-RS"/>
              </w:rPr>
            </w:pPr>
            <w:r w:rsidRPr="00CB12C4">
              <w:t>Извештај Министарства за рад, запошљавање,</w:t>
            </w:r>
            <w:r w:rsidRPr="00CB12C4">
              <w:rPr>
                <w:lang w:val="sr-Cyrl-RS"/>
              </w:rPr>
              <w:t xml:space="preserve"> борачка и социјална питања</w:t>
            </w:r>
            <w:r w:rsidRPr="00CB12C4">
              <w:t xml:space="preserve"> </w:t>
            </w:r>
          </w:p>
        </w:tc>
      </w:tr>
      <w:tr w:rsidR="001B57DA" w:rsidRPr="00CB12C4" w:rsidTr="00BF787F">
        <w:trPr>
          <w:trHeight w:val="304"/>
        </w:trPr>
        <w:tc>
          <w:tcPr>
            <w:tcW w:w="3258" w:type="dxa"/>
            <w:shd w:val="clear" w:color="auto" w:fill="auto"/>
          </w:tcPr>
          <w:p w:rsidR="001B57DA" w:rsidRPr="00CB12C4" w:rsidRDefault="001B57DA" w:rsidP="00BF787F">
            <w:pPr>
              <w:autoSpaceDE w:val="0"/>
              <w:autoSpaceDN w:val="0"/>
              <w:adjustRightInd w:val="0"/>
            </w:pPr>
            <w:r w:rsidRPr="00CB12C4">
              <w:t>финансијски подстицаји за издаваче медија који су закључили колективни уговор</w:t>
            </w:r>
            <w:r w:rsidRPr="00CB12C4">
              <w:rPr>
                <w:lang w:val="sr-Cyrl-RS"/>
              </w:rPr>
              <w:t xml:space="preserve"> </w:t>
            </w:r>
            <w:r w:rsidRPr="00CB12C4">
              <w:t>прописани релевантним законима</w:t>
            </w:r>
          </w:p>
        </w:tc>
        <w:tc>
          <w:tcPr>
            <w:tcW w:w="3622" w:type="dxa"/>
            <w:shd w:val="clear" w:color="auto" w:fill="auto"/>
          </w:tcPr>
          <w:p w:rsidR="001B57DA" w:rsidRPr="00CB12C4" w:rsidRDefault="001B57DA" w:rsidP="00BF787F">
            <w:pPr>
              <w:shd w:val="clear" w:color="auto" w:fill="FFFFFF"/>
              <w:rPr>
                <w:lang w:val="sr-Cyrl-RS"/>
              </w:rPr>
            </w:pPr>
            <w:r w:rsidRPr="00CB12C4">
              <w:t>ДА/НЕ</w:t>
            </w:r>
          </w:p>
        </w:tc>
        <w:tc>
          <w:tcPr>
            <w:tcW w:w="2919" w:type="dxa"/>
            <w:shd w:val="clear" w:color="auto" w:fill="auto"/>
          </w:tcPr>
          <w:p w:rsidR="001B57DA" w:rsidRPr="00CB12C4" w:rsidRDefault="001B57DA" w:rsidP="00BF787F">
            <w:pPr>
              <w:shd w:val="clear" w:color="auto" w:fill="FFFFFF"/>
              <w:rPr>
                <w:lang w:val="sr-Cyrl-RS"/>
              </w:rPr>
            </w:pPr>
            <w:r w:rsidRPr="00CB12C4">
              <w:t xml:space="preserve">Извештај </w:t>
            </w:r>
            <w:r w:rsidRPr="00CB12C4">
              <w:rPr>
                <w:lang w:val="sr-Cyrl-RS"/>
              </w:rPr>
              <w:t>Министарства финансија</w:t>
            </w:r>
          </w:p>
        </w:tc>
      </w:tr>
      <w:tr w:rsidR="001B57DA" w:rsidRPr="00CB12C4" w:rsidTr="00BF787F">
        <w:trPr>
          <w:trHeight w:val="304"/>
        </w:trPr>
        <w:tc>
          <w:tcPr>
            <w:tcW w:w="3258" w:type="dxa"/>
            <w:shd w:val="clear" w:color="auto" w:fill="auto"/>
          </w:tcPr>
          <w:p w:rsidR="001B57DA" w:rsidRPr="00CB12C4" w:rsidRDefault="001B57DA" w:rsidP="00BF787F">
            <w:pPr>
              <w:autoSpaceDE w:val="0"/>
              <w:autoSpaceDN w:val="0"/>
              <w:adjustRightInd w:val="0"/>
            </w:pPr>
            <w:r w:rsidRPr="00CB12C4">
              <w:t>број медија које имају интерне мере и процедуре за постизање родне</w:t>
            </w:r>
          </w:p>
          <w:p w:rsidR="001B57DA" w:rsidRPr="00CB12C4" w:rsidRDefault="001B57DA" w:rsidP="00BF787F">
            <w:pPr>
              <w:autoSpaceDE w:val="0"/>
              <w:autoSpaceDN w:val="0"/>
              <w:adjustRightInd w:val="0"/>
            </w:pPr>
            <w:r w:rsidRPr="00CB12C4">
              <w:t>равноправности</w:t>
            </w:r>
          </w:p>
        </w:tc>
        <w:tc>
          <w:tcPr>
            <w:tcW w:w="3622" w:type="dxa"/>
            <w:shd w:val="clear" w:color="auto" w:fill="auto"/>
          </w:tcPr>
          <w:p w:rsidR="001B57DA" w:rsidRPr="00CB12C4" w:rsidRDefault="001B57DA" w:rsidP="00BF787F">
            <w:pPr>
              <w:shd w:val="clear" w:color="auto" w:fill="FFFFFF"/>
              <w:rPr>
                <w:lang w:val="sr-Cyrl-RS"/>
              </w:rPr>
            </w:pPr>
            <w:r w:rsidRPr="00CB12C4">
              <w:rPr>
                <w:lang w:val="sr-Cyrl-RS"/>
              </w:rPr>
              <w:t>број</w:t>
            </w:r>
          </w:p>
        </w:tc>
        <w:tc>
          <w:tcPr>
            <w:tcW w:w="2919" w:type="dxa"/>
            <w:shd w:val="clear" w:color="auto" w:fill="auto"/>
          </w:tcPr>
          <w:p w:rsidR="001B57DA" w:rsidRPr="00CB12C4" w:rsidRDefault="001B57DA" w:rsidP="00BF787F">
            <w:pPr>
              <w:shd w:val="clear" w:color="auto" w:fill="FFFFFF"/>
              <w:rPr>
                <w:color w:val="FF0000"/>
                <w:lang w:val="sr-Cyrl-RS"/>
              </w:rPr>
            </w:pPr>
            <w:r w:rsidRPr="001B57DA">
              <w:rPr>
                <w:lang w:val="sr-Cyrl-RS"/>
              </w:rPr>
              <w:t>Министарство информисања и телекомуникација</w:t>
            </w:r>
            <w:r w:rsidRPr="00CB12C4">
              <w:rPr>
                <w:lang w:val="sr-Cyrl-RS"/>
              </w:rPr>
              <w:t>, Регистар медија</w:t>
            </w:r>
          </w:p>
        </w:tc>
      </w:tr>
      <w:tr w:rsidR="001B57DA" w:rsidRPr="00CB12C4" w:rsidTr="00BF787F">
        <w:trPr>
          <w:trHeight w:val="304"/>
        </w:trPr>
        <w:tc>
          <w:tcPr>
            <w:tcW w:w="3258" w:type="dxa"/>
            <w:shd w:val="clear" w:color="auto" w:fill="auto"/>
          </w:tcPr>
          <w:p w:rsidR="001B57DA" w:rsidRPr="00CB12C4" w:rsidRDefault="001B57DA" w:rsidP="00BF787F">
            <w:pPr>
              <w:autoSpaceDE w:val="0"/>
              <w:autoSpaceDN w:val="0"/>
              <w:adjustRightInd w:val="0"/>
            </w:pPr>
            <w:r w:rsidRPr="00CB12C4">
              <w:t>број медија које имају интерне мере и процедуре за запошљавање особа са</w:t>
            </w:r>
          </w:p>
          <w:p w:rsidR="001B57DA" w:rsidRPr="00CB12C4" w:rsidRDefault="001B57DA" w:rsidP="00BF787F">
            <w:pPr>
              <w:autoSpaceDE w:val="0"/>
              <w:autoSpaceDN w:val="0"/>
              <w:adjustRightInd w:val="0"/>
            </w:pPr>
            <w:r w:rsidRPr="00CB12C4">
              <w:t>инвалидитетом</w:t>
            </w:r>
          </w:p>
        </w:tc>
        <w:tc>
          <w:tcPr>
            <w:tcW w:w="3622" w:type="dxa"/>
            <w:shd w:val="clear" w:color="auto" w:fill="auto"/>
          </w:tcPr>
          <w:p w:rsidR="001B57DA" w:rsidRPr="00CB12C4" w:rsidRDefault="001B57DA" w:rsidP="00BF787F">
            <w:pPr>
              <w:shd w:val="clear" w:color="auto" w:fill="FFFFFF"/>
              <w:rPr>
                <w:lang w:val="sr-Cyrl-RS"/>
              </w:rPr>
            </w:pPr>
            <w:r w:rsidRPr="00CB12C4">
              <w:rPr>
                <w:lang w:val="sr-Cyrl-RS"/>
              </w:rPr>
              <w:t>број</w:t>
            </w:r>
          </w:p>
        </w:tc>
        <w:tc>
          <w:tcPr>
            <w:tcW w:w="2919" w:type="dxa"/>
            <w:shd w:val="clear" w:color="auto" w:fill="auto"/>
          </w:tcPr>
          <w:p w:rsidR="001B57DA" w:rsidRPr="00CB12C4" w:rsidRDefault="003B7BBF" w:rsidP="00BF787F">
            <w:pPr>
              <w:shd w:val="clear" w:color="auto" w:fill="FFFFFF"/>
            </w:pPr>
            <w:r w:rsidRPr="003B7BBF">
              <w:rPr>
                <w:lang w:val="sr-Cyrl-RS"/>
              </w:rPr>
              <w:t>Министарство информисања и телекомуникација</w:t>
            </w:r>
            <w:r w:rsidR="001B57DA" w:rsidRPr="00CB12C4">
              <w:rPr>
                <w:lang w:val="sr-Cyrl-RS"/>
              </w:rPr>
              <w:t>, Регистар медија</w:t>
            </w:r>
          </w:p>
        </w:tc>
      </w:tr>
      <w:tr w:rsidR="001B57DA" w:rsidRPr="00CB12C4" w:rsidTr="00BF787F">
        <w:trPr>
          <w:trHeight w:val="304"/>
        </w:trPr>
        <w:tc>
          <w:tcPr>
            <w:tcW w:w="3258" w:type="dxa"/>
            <w:shd w:val="clear" w:color="auto" w:fill="auto"/>
          </w:tcPr>
          <w:p w:rsidR="001B57DA" w:rsidRPr="00CB12C4" w:rsidRDefault="001B57DA" w:rsidP="00BF787F">
            <w:pPr>
              <w:autoSpaceDE w:val="0"/>
              <w:autoSpaceDN w:val="0"/>
              <w:adjustRightInd w:val="0"/>
            </w:pPr>
            <w:r w:rsidRPr="00CB12C4">
              <w:t>успостављени механизми за родно осетљиво прикупљање и анализу података о</w:t>
            </w:r>
          </w:p>
          <w:p w:rsidR="001B57DA" w:rsidRPr="00CB12C4" w:rsidRDefault="001B57DA" w:rsidP="00BF787F">
            <w:pPr>
              <w:autoSpaceDE w:val="0"/>
              <w:autoSpaceDN w:val="0"/>
              <w:adjustRightInd w:val="0"/>
            </w:pPr>
            <w:r w:rsidRPr="00CB12C4">
              <w:t>заступљености жена међу уредницама и доносиоцима одлука, као и о усклађености</w:t>
            </w:r>
          </w:p>
          <w:p w:rsidR="001B57DA" w:rsidRPr="00CB12C4" w:rsidRDefault="001B57DA" w:rsidP="00BF787F">
            <w:pPr>
              <w:autoSpaceDE w:val="0"/>
              <w:autoSpaceDN w:val="0"/>
              <w:adjustRightInd w:val="0"/>
            </w:pPr>
            <w:r w:rsidRPr="00CB12C4">
              <w:t>услова рада са обавезама из приватне сфере</w:t>
            </w:r>
          </w:p>
        </w:tc>
        <w:tc>
          <w:tcPr>
            <w:tcW w:w="3622" w:type="dxa"/>
            <w:shd w:val="clear" w:color="auto" w:fill="auto"/>
          </w:tcPr>
          <w:p w:rsidR="001B57DA" w:rsidRPr="00CB12C4" w:rsidRDefault="001B57DA" w:rsidP="00BF787F">
            <w:pPr>
              <w:shd w:val="clear" w:color="auto" w:fill="FFFFFF"/>
              <w:rPr>
                <w:lang w:val="sr-Cyrl-RS"/>
              </w:rPr>
            </w:pPr>
            <w:r w:rsidRPr="00CB12C4">
              <w:rPr>
                <w:lang w:val="sr-Cyrl-RS"/>
              </w:rPr>
              <w:t>ДА/НЕ</w:t>
            </w:r>
          </w:p>
        </w:tc>
        <w:tc>
          <w:tcPr>
            <w:tcW w:w="2919" w:type="dxa"/>
            <w:shd w:val="clear" w:color="auto" w:fill="auto"/>
          </w:tcPr>
          <w:p w:rsidR="001B57DA" w:rsidRPr="00CB12C4" w:rsidRDefault="001B57DA" w:rsidP="00BF787F">
            <w:pPr>
              <w:shd w:val="clear" w:color="auto" w:fill="FFFFFF"/>
              <w:rPr>
                <w:lang w:val="sr-Cyrl-RS"/>
              </w:rPr>
            </w:pPr>
            <w:r w:rsidRPr="00CB12C4">
              <w:t xml:space="preserve">Извештај Министарства за </w:t>
            </w:r>
            <w:r w:rsidRPr="00CB12C4">
              <w:rPr>
                <w:lang w:val="sr-Cyrl-RS"/>
              </w:rPr>
              <w:t>људска и мањинска права и друштвени дијалог</w:t>
            </w:r>
          </w:p>
        </w:tc>
      </w:tr>
      <w:tr w:rsidR="001B57DA" w:rsidRPr="00CB12C4" w:rsidTr="00BF787F">
        <w:trPr>
          <w:trHeight w:val="543"/>
        </w:trPr>
        <w:tc>
          <w:tcPr>
            <w:tcW w:w="3258" w:type="dxa"/>
            <w:shd w:val="clear" w:color="auto" w:fill="auto"/>
          </w:tcPr>
          <w:p w:rsidR="001B57DA" w:rsidRPr="00CB12C4" w:rsidRDefault="001B57DA" w:rsidP="00BF787F">
            <w:pPr>
              <w:rPr>
                <w:strike/>
                <w:lang w:val="sr-Cyrl-RS"/>
              </w:rPr>
            </w:pPr>
            <w:r w:rsidRPr="00CB12C4">
              <w:rPr>
                <w:bCs/>
                <w:color w:val="000000"/>
                <w:lang w:val="sr-Cyrl-RS"/>
              </w:rPr>
              <w:t>утврђивање података о броју запослених у Сектору Ј према Уредби о класификацији делатности, образовној структури и полу</w:t>
            </w:r>
          </w:p>
          <w:p w:rsidR="001B57DA" w:rsidRPr="00CB12C4" w:rsidRDefault="001B57DA" w:rsidP="00BF787F">
            <w:pPr>
              <w:rPr>
                <w:lang w:val="sr-Cyrl-RS"/>
              </w:rPr>
            </w:pPr>
          </w:p>
          <w:p w:rsidR="001B57DA" w:rsidRPr="00CB12C4" w:rsidRDefault="001B57DA" w:rsidP="00BF787F">
            <w:pPr>
              <w:rPr>
                <w:lang w:val="sr-Cyrl-RS"/>
              </w:rPr>
            </w:pPr>
          </w:p>
        </w:tc>
        <w:tc>
          <w:tcPr>
            <w:tcW w:w="3622" w:type="dxa"/>
            <w:shd w:val="clear" w:color="auto" w:fill="auto"/>
          </w:tcPr>
          <w:p w:rsidR="001B57DA" w:rsidRPr="00CB12C4" w:rsidRDefault="001B57DA" w:rsidP="00BF787F">
            <w:pPr>
              <w:rPr>
                <w:lang w:val="sr-Cyrl-RS"/>
              </w:rPr>
            </w:pPr>
            <w:r w:rsidRPr="00CB12C4">
              <w:rPr>
                <w:lang w:val="sr-Cyrl-RS"/>
              </w:rPr>
              <w:t xml:space="preserve">Републички завод за статистику </w:t>
            </w:r>
          </w:p>
        </w:tc>
        <w:tc>
          <w:tcPr>
            <w:tcW w:w="2919" w:type="dxa"/>
            <w:shd w:val="clear" w:color="auto" w:fill="auto"/>
          </w:tcPr>
          <w:p w:rsidR="001B57DA" w:rsidRPr="00CB12C4" w:rsidRDefault="001B57DA" w:rsidP="00BF787F">
            <w:r w:rsidRPr="00CB12C4">
              <w:rPr>
                <w:lang w:val="sr-Cyrl-RS"/>
              </w:rPr>
              <w:t>Новинарска и медијска удружења и синдикалне организацие</w:t>
            </w:r>
          </w:p>
        </w:tc>
      </w:tr>
      <w:tr w:rsidR="001B57DA" w:rsidRPr="00CB12C4" w:rsidTr="00BF787F">
        <w:trPr>
          <w:trHeight w:val="543"/>
        </w:trPr>
        <w:tc>
          <w:tcPr>
            <w:tcW w:w="3258" w:type="dxa"/>
            <w:shd w:val="clear" w:color="auto" w:fill="auto"/>
          </w:tcPr>
          <w:p w:rsidR="001B57DA" w:rsidRPr="00CB12C4" w:rsidRDefault="001B57DA" w:rsidP="00BF787F">
            <w:pPr>
              <w:autoSpaceDE w:val="0"/>
              <w:autoSpaceDN w:val="0"/>
              <w:adjustRightInd w:val="0"/>
              <w:rPr>
                <w:lang w:val="sr-Cyrl-RS"/>
              </w:rPr>
            </w:pPr>
            <w:r w:rsidRPr="00CB12C4">
              <w:rPr>
                <w:lang w:val="sr-Cyrl-RS"/>
              </w:rPr>
              <w:t>утврђивање броја синдикално организованих новинара и медијских радника,</w:t>
            </w:r>
          </w:p>
          <w:p w:rsidR="001B57DA" w:rsidRPr="00CB12C4" w:rsidRDefault="001B57DA" w:rsidP="00BF787F">
            <w:pPr>
              <w:autoSpaceDE w:val="0"/>
              <w:autoSpaceDN w:val="0"/>
              <w:adjustRightInd w:val="0"/>
              <w:rPr>
                <w:lang w:val="sr-Cyrl-RS"/>
              </w:rPr>
            </w:pPr>
            <w:r w:rsidRPr="00CB12C4">
              <w:rPr>
                <w:lang w:val="sr-Cyrl-RS"/>
              </w:rPr>
              <w:t>анализа стања и сачињавање извештаја о спровођењу закључених колективних</w:t>
            </w:r>
          </w:p>
          <w:p w:rsidR="001B57DA" w:rsidRPr="00CB12C4" w:rsidRDefault="001B57DA" w:rsidP="00BF787F">
            <w:pPr>
              <w:rPr>
                <w:lang w:val="sr-Cyrl-RS"/>
              </w:rPr>
            </w:pPr>
            <w:r w:rsidRPr="00CB12C4">
              <w:rPr>
                <w:lang w:val="sr-Cyrl-RS"/>
              </w:rPr>
              <w:t>уговора</w:t>
            </w:r>
          </w:p>
        </w:tc>
        <w:tc>
          <w:tcPr>
            <w:tcW w:w="3622" w:type="dxa"/>
            <w:shd w:val="clear" w:color="auto" w:fill="auto"/>
          </w:tcPr>
          <w:p w:rsidR="001B57DA" w:rsidRPr="00CB12C4" w:rsidRDefault="003B7BBF" w:rsidP="00BF787F">
            <w:pPr>
              <w:rPr>
                <w:lang w:val="sr-Cyrl-RS"/>
              </w:rPr>
            </w:pPr>
            <w:r w:rsidRPr="003B7BBF">
              <w:rPr>
                <w:lang w:val="sr-Cyrl-RS"/>
              </w:rPr>
              <w:t>Министарство информисања и телекомуникација</w:t>
            </w:r>
          </w:p>
        </w:tc>
        <w:tc>
          <w:tcPr>
            <w:tcW w:w="2919" w:type="dxa"/>
            <w:shd w:val="clear" w:color="auto" w:fill="auto"/>
          </w:tcPr>
          <w:p w:rsidR="001B57DA" w:rsidRPr="00CB12C4" w:rsidRDefault="001B57DA" w:rsidP="00BF787F">
            <w:r w:rsidRPr="00CB12C4">
              <w:rPr>
                <w:lang w:val="sr-Cyrl-RS"/>
              </w:rPr>
              <w:t>Новинарска и медијска удружења и синдикалне организацие</w:t>
            </w:r>
          </w:p>
        </w:tc>
      </w:tr>
      <w:tr w:rsidR="001B57DA" w:rsidRPr="00CB12C4" w:rsidTr="00BF787F">
        <w:trPr>
          <w:trHeight w:val="140"/>
        </w:trPr>
        <w:tc>
          <w:tcPr>
            <w:tcW w:w="3258" w:type="dxa"/>
            <w:shd w:val="clear" w:color="auto" w:fill="auto"/>
          </w:tcPr>
          <w:p w:rsidR="001B57DA" w:rsidRPr="00CB12C4" w:rsidRDefault="001B57DA" w:rsidP="00BF787F">
            <w:pPr>
              <w:autoSpaceDE w:val="0"/>
              <w:autoSpaceDN w:val="0"/>
              <w:adjustRightInd w:val="0"/>
              <w:rPr>
                <w:lang w:val="sr-Cyrl-RS"/>
              </w:rPr>
            </w:pPr>
            <w:r w:rsidRPr="00CB12C4">
              <w:rPr>
                <w:lang w:val="sr-Cyrl-RS"/>
              </w:rPr>
              <w:t>мапирање стања у погледу броја и репрезентативности послодавачких организација</w:t>
            </w:r>
          </w:p>
          <w:p w:rsidR="001B57DA" w:rsidRPr="00CB12C4" w:rsidRDefault="001B57DA" w:rsidP="00BF787F">
            <w:pPr>
              <w:rPr>
                <w:lang w:val="sr-Cyrl-RS"/>
              </w:rPr>
            </w:pPr>
            <w:r w:rsidRPr="00CB12C4">
              <w:rPr>
                <w:lang w:val="sr-Cyrl-RS"/>
              </w:rPr>
              <w:t>издавача медија и репрезентативности синдиката новинара и медијских радника</w:t>
            </w:r>
          </w:p>
        </w:tc>
        <w:tc>
          <w:tcPr>
            <w:tcW w:w="3622" w:type="dxa"/>
            <w:shd w:val="clear" w:color="auto" w:fill="auto"/>
          </w:tcPr>
          <w:p w:rsidR="001B57DA" w:rsidRPr="00CB12C4" w:rsidRDefault="001B57DA" w:rsidP="00BF787F">
            <w:pPr>
              <w:rPr>
                <w:lang w:val="sr-Cyrl-RS"/>
              </w:rPr>
            </w:pPr>
            <w:r w:rsidRPr="00CB12C4">
              <w:rPr>
                <w:lang w:val="sr-Cyrl-RS"/>
              </w:rPr>
              <w:t>Министарство за рад, запошљавање, борачка и социјална питања</w:t>
            </w:r>
            <w:r w:rsidRPr="00CB12C4" w:rsidDel="00087319">
              <w:rPr>
                <w:lang w:val="sr-Cyrl-RS"/>
              </w:rPr>
              <w:t xml:space="preserve"> </w:t>
            </w:r>
          </w:p>
        </w:tc>
        <w:tc>
          <w:tcPr>
            <w:tcW w:w="2919" w:type="dxa"/>
            <w:shd w:val="clear" w:color="auto" w:fill="auto"/>
          </w:tcPr>
          <w:p w:rsidR="001B57DA" w:rsidRPr="00CB12C4" w:rsidRDefault="003B7BBF" w:rsidP="00BF787F">
            <w:r w:rsidRPr="003B7BBF">
              <w:rPr>
                <w:lang w:val="sr-Cyrl-RS"/>
              </w:rPr>
              <w:t>Министарство информисања и телекомуникација</w:t>
            </w:r>
            <w:r w:rsidR="001B57DA" w:rsidRPr="00CB12C4">
              <w:rPr>
                <w:lang w:val="sr-Cyrl-RS"/>
              </w:rPr>
              <w:t>, Републички завод за статистикуновинарска и медијска удружења и синдикалне организацие</w:t>
            </w:r>
          </w:p>
        </w:tc>
      </w:tr>
      <w:tr w:rsidR="001B57DA" w:rsidRPr="00CB12C4" w:rsidTr="00BF787F">
        <w:trPr>
          <w:trHeight w:val="140"/>
        </w:trPr>
        <w:tc>
          <w:tcPr>
            <w:tcW w:w="3258" w:type="dxa"/>
            <w:shd w:val="clear" w:color="auto" w:fill="auto"/>
          </w:tcPr>
          <w:p w:rsidR="001B57DA" w:rsidRPr="00CB12C4" w:rsidRDefault="001B57DA" w:rsidP="00BF787F">
            <w:pPr>
              <w:autoSpaceDE w:val="0"/>
              <w:autoSpaceDN w:val="0"/>
              <w:adjustRightInd w:val="0"/>
              <w:rPr>
                <w:lang w:val="sr-Cyrl-RS"/>
              </w:rPr>
            </w:pPr>
            <w:r w:rsidRPr="00CB12C4">
              <w:rPr>
                <w:color w:val="000000"/>
              </w:rPr>
              <w:t xml:space="preserve">успостављање социјално-економског дијалога ради потписивања гранског </w:t>
            </w:r>
            <w:r w:rsidRPr="00CB12C4">
              <w:rPr>
                <w:color w:val="000000"/>
              </w:rPr>
              <w:lastRenderedPageBreak/>
              <w:t>колективног уговора, у складу са законом који уређује радне односе</w:t>
            </w:r>
          </w:p>
        </w:tc>
        <w:tc>
          <w:tcPr>
            <w:tcW w:w="3622" w:type="dxa"/>
            <w:shd w:val="clear" w:color="auto" w:fill="auto"/>
          </w:tcPr>
          <w:p w:rsidR="001B57DA" w:rsidRPr="00CB12C4" w:rsidRDefault="003B7BBF" w:rsidP="00BF787F">
            <w:pPr>
              <w:rPr>
                <w:lang w:val="sr-Cyrl-RS"/>
              </w:rPr>
            </w:pPr>
            <w:r w:rsidRPr="003B7BBF">
              <w:rPr>
                <w:lang w:val="sr-Cyrl-RS"/>
              </w:rPr>
              <w:lastRenderedPageBreak/>
              <w:t>Министарство информисања и телекомуникација</w:t>
            </w:r>
          </w:p>
        </w:tc>
        <w:tc>
          <w:tcPr>
            <w:tcW w:w="2919" w:type="dxa"/>
            <w:shd w:val="clear" w:color="auto" w:fill="auto"/>
          </w:tcPr>
          <w:p w:rsidR="001B57DA" w:rsidRPr="00CB12C4" w:rsidRDefault="001B57DA" w:rsidP="00BF787F">
            <w:r w:rsidRPr="00CB12C4">
              <w:rPr>
                <w:lang w:val="sr-Cyrl-RS"/>
              </w:rPr>
              <w:t>Министарство за рад, запошљавање, борачка и социјална питања,</w:t>
            </w:r>
            <w:r w:rsidRPr="00CB12C4">
              <w:rPr>
                <w:strike/>
                <w:lang w:val="sr-Cyrl-RS"/>
              </w:rPr>
              <w:t xml:space="preserve"> </w:t>
            </w:r>
            <w:r w:rsidRPr="00CB12C4">
              <w:rPr>
                <w:lang w:val="sr-Cyrl-RS"/>
              </w:rPr>
              <w:lastRenderedPageBreak/>
              <w:t>новинарска и медијска удружења и синдикалне организацие</w:t>
            </w:r>
          </w:p>
        </w:tc>
      </w:tr>
      <w:tr w:rsidR="001B57DA" w:rsidRPr="00CB12C4" w:rsidTr="00BF787F">
        <w:trPr>
          <w:trHeight w:val="140"/>
        </w:trPr>
        <w:tc>
          <w:tcPr>
            <w:tcW w:w="3258" w:type="dxa"/>
            <w:shd w:val="clear" w:color="auto" w:fill="auto"/>
          </w:tcPr>
          <w:p w:rsidR="001B57DA" w:rsidRPr="00CB12C4" w:rsidRDefault="001B57DA" w:rsidP="00BF787F">
            <w:pPr>
              <w:autoSpaceDE w:val="0"/>
              <w:autoSpaceDN w:val="0"/>
              <w:adjustRightInd w:val="0"/>
              <w:rPr>
                <w:lang w:val="sr-Cyrl-RS"/>
              </w:rPr>
            </w:pPr>
            <w:r w:rsidRPr="00CB12C4">
              <w:rPr>
                <w:color w:val="000000"/>
              </w:rPr>
              <w:lastRenderedPageBreak/>
              <w:t>организовање пројеката едукације новинара</w:t>
            </w:r>
            <w:r w:rsidRPr="00CB12C4">
              <w:rPr>
                <w:color w:val="000000"/>
                <w:lang w:val="sr-Cyrl-RS"/>
              </w:rPr>
              <w:t xml:space="preserve">, </w:t>
            </w:r>
            <w:r w:rsidRPr="00CB12C4">
              <w:rPr>
                <w:color w:val="000000"/>
              </w:rPr>
              <w:t>медијских радника</w:t>
            </w:r>
            <w:r w:rsidRPr="00CB12C4">
              <w:rPr>
                <w:color w:val="000000"/>
                <w:lang w:val="sr-Cyrl-RS"/>
              </w:rPr>
              <w:t xml:space="preserve"> </w:t>
            </w:r>
            <w:r w:rsidRPr="00CB12C4">
              <w:rPr>
                <w:color w:val="000000"/>
              </w:rPr>
              <w:t>и послодаваца о начину остваривања радних и професионалних права запослених у медијском сектору</w:t>
            </w:r>
            <w:r w:rsidRPr="00CB12C4">
              <w:rPr>
                <w:color w:val="000000"/>
                <w:lang w:val="sr-Cyrl-RS"/>
              </w:rPr>
              <w:t>, као и у области безбедности и заштите здравља на раду</w:t>
            </w:r>
          </w:p>
        </w:tc>
        <w:tc>
          <w:tcPr>
            <w:tcW w:w="3622" w:type="dxa"/>
            <w:shd w:val="clear" w:color="auto" w:fill="auto"/>
          </w:tcPr>
          <w:p w:rsidR="001B57DA" w:rsidRPr="00CB12C4" w:rsidRDefault="003B7BBF" w:rsidP="00BF787F">
            <w:pPr>
              <w:rPr>
                <w:strike/>
                <w:lang w:val="sr-Cyrl-RS"/>
              </w:rPr>
            </w:pPr>
            <w:r w:rsidRPr="003B7BBF">
              <w:rPr>
                <w:lang w:val="sr-Cyrl-RS"/>
              </w:rPr>
              <w:t>Министарство информисања и телекомуникација</w:t>
            </w:r>
            <w:r w:rsidR="001B57DA" w:rsidRPr="00CB12C4" w:rsidDel="00087319">
              <w:rPr>
                <w:strike/>
                <w:lang w:val="sr-Cyrl-RS"/>
              </w:rPr>
              <w:t xml:space="preserve"> </w:t>
            </w:r>
          </w:p>
        </w:tc>
        <w:tc>
          <w:tcPr>
            <w:tcW w:w="2919" w:type="dxa"/>
            <w:shd w:val="clear" w:color="auto" w:fill="auto"/>
          </w:tcPr>
          <w:p w:rsidR="001B57DA" w:rsidRPr="00CB12C4" w:rsidRDefault="001B57DA" w:rsidP="00BF787F">
            <w:pPr>
              <w:rPr>
                <w:lang w:val="sr-Cyrl-RS"/>
              </w:rPr>
            </w:pPr>
            <w:r w:rsidRPr="00CB12C4">
              <w:rPr>
                <w:lang w:val="sr-Cyrl-RS"/>
              </w:rPr>
              <w:t>Министарство за рад, запошљавање, борачка и социјална питања, Заштитник грађана,</w:t>
            </w:r>
          </w:p>
          <w:p w:rsidR="001B57DA" w:rsidRPr="00CB12C4" w:rsidRDefault="001B57DA" w:rsidP="00BF787F">
            <w:r w:rsidRPr="00CB12C4">
              <w:rPr>
                <w:lang w:val="sr-Latn-RS"/>
              </w:rPr>
              <w:t xml:space="preserve"> </w:t>
            </w:r>
            <w:r w:rsidRPr="00CB12C4">
              <w:rPr>
                <w:lang w:val="sr-Cyrl-RS"/>
              </w:rPr>
              <w:t>Мисија ОЕБС-а,</w:t>
            </w:r>
            <w:r w:rsidRPr="00CB12C4">
              <w:t xml:space="preserve"> </w:t>
            </w:r>
            <w:r w:rsidRPr="00CB12C4">
              <w:rPr>
                <w:lang w:val="sr-Cyrl-RS"/>
              </w:rPr>
              <w:t>новинарска и медијска удружења и синдикалне организацие</w:t>
            </w:r>
            <w:r w:rsidRPr="00CB12C4">
              <w:t xml:space="preserve"> </w:t>
            </w:r>
          </w:p>
        </w:tc>
      </w:tr>
      <w:tr w:rsidR="001B57DA" w:rsidRPr="00CB12C4" w:rsidTr="00BF787F">
        <w:trPr>
          <w:trHeight w:val="140"/>
        </w:trPr>
        <w:tc>
          <w:tcPr>
            <w:tcW w:w="3258" w:type="dxa"/>
            <w:shd w:val="clear" w:color="auto" w:fill="auto"/>
          </w:tcPr>
          <w:p w:rsidR="001B57DA" w:rsidRPr="00CB12C4" w:rsidRDefault="001B57DA" w:rsidP="00BF787F">
            <w:pPr>
              <w:autoSpaceDE w:val="0"/>
              <w:autoSpaceDN w:val="0"/>
              <w:adjustRightInd w:val="0"/>
              <w:rPr>
                <w:lang w:val="sr-Cyrl-RS"/>
              </w:rPr>
            </w:pPr>
            <w:r w:rsidRPr="00CB12C4">
              <w:t>прописивање финансијских подстицаја за издаваче медија који су закључили колективни уговор</w:t>
            </w:r>
          </w:p>
        </w:tc>
        <w:tc>
          <w:tcPr>
            <w:tcW w:w="3622" w:type="dxa"/>
            <w:shd w:val="clear" w:color="auto" w:fill="auto"/>
          </w:tcPr>
          <w:p w:rsidR="001B57DA" w:rsidRPr="00CB12C4" w:rsidRDefault="001B57DA" w:rsidP="00BF787F">
            <w:pPr>
              <w:rPr>
                <w:lang w:val="sr-Cyrl-RS"/>
              </w:rPr>
            </w:pPr>
            <w:r w:rsidRPr="00CB12C4">
              <w:rPr>
                <w:lang w:val="sr-Cyrl-RS"/>
              </w:rPr>
              <w:t>Министарство финансија</w:t>
            </w:r>
          </w:p>
        </w:tc>
        <w:tc>
          <w:tcPr>
            <w:tcW w:w="2919" w:type="dxa"/>
            <w:shd w:val="clear" w:color="auto" w:fill="auto"/>
          </w:tcPr>
          <w:p w:rsidR="001B57DA" w:rsidRPr="00CB12C4" w:rsidRDefault="001B57DA" w:rsidP="00BF787F">
            <w:pPr>
              <w:rPr>
                <w:strike/>
                <w:lang w:val="sr-Cyrl-RS"/>
              </w:rPr>
            </w:pPr>
          </w:p>
        </w:tc>
      </w:tr>
      <w:tr w:rsidR="001B57DA" w:rsidRPr="00CB12C4" w:rsidTr="00BF787F">
        <w:trPr>
          <w:trHeight w:val="140"/>
        </w:trPr>
        <w:tc>
          <w:tcPr>
            <w:tcW w:w="3258" w:type="dxa"/>
            <w:shd w:val="clear" w:color="auto" w:fill="auto"/>
          </w:tcPr>
          <w:p w:rsidR="001B57DA" w:rsidRPr="00CB12C4" w:rsidRDefault="001B57DA" w:rsidP="00BF787F">
            <w:pPr>
              <w:autoSpaceDE w:val="0"/>
              <w:autoSpaceDN w:val="0"/>
              <w:adjustRightInd w:val="0"/>
              <w:rPr>
                <w:lang w:val="sr-Cyrl-RS"/>
              </w:rPr>
            </w:pPr>
            <w:r w:rsidRPr="00CB12C4">
              <w:t>развијање механизама подстицаја за нова радна места у сектору медија или за запошљавање младих новинара уз дефинисање прецизних критеријума</w:t>
            </w:r>
          </w:p>
        </w:tc>
        <w:tc>
          <w:tcPr>
            <w:tcW w:w="3622" w:type="dxa"/>
            <w:shd w:val="clear" w:color="auto" w:fill="auto"/>
          </w:tcPr>
          <w:p w:rsidR="001B57DA" w:rsidRPr="00CB12C4" w:rsidRDefault="003B7BBF" w:rsidP="00BF787F">
            <w:pPr>
              <w:rPr>
                <w:lang w:val="sr-Cyrl-RS"/>
              </w:rPr>
            </w:pPr>
            <w:r w:rsidRPr="003B7BBF">
              <w:rPr>
                <w:lang w:val="sr-Cyrl-RS"/>
              </w:rPr>
              <w:t>Министарство информисања и телекомуникација</w:t>
            </w:r>
            <w:r w:rsidR="001B57DA" w:rsidRPr="00CB12C4">
              <w:t xml:space="preserve"> </w:t>
            </w:r>
          </w:p>
        </w:tc>
        <w:tc>
          <w:tcPr>
            <w:tcW w:w="2919" w:type="dxa"/>
            <w:shd w:val="clear" w:color="auto" w:fill="auto"/>
          </w:tcPr>
          <w:p w:rsidR="001B57DA" w:rsidRPr="00CB12C4" w:rsidRDefault="001B57DA" w:rsidP="00BF787F">
            <w:pPr>
              <w:rPr>
                <w:strike/>
                <w:lang w:val="sr-Cyrl-RS"/>
              </w:rPr>
            </w:pPr>
          </w:p>
        </w:tc>
      </w:tr>
      <w:tr w:rsidR="001B57DA" w:rsidRPr="00CB12C4" w:rsidTr="00BF787F">
        <w:trPr>
          <w:trHeight w:val="140"/>
        </w:trPr>
        <w:tc>
          <w:tcPr>
            <w:tcW w:w="3258" w:type="dxa"/>
            <w:shd w:val="clear" w:color="auto" w:fill="auto"/>
          </w:tcPr>
          <w:p w:rsidR="001B57DA" w:rsidRPr="00CB12C4" w:rsidRDefault="001B57DA" w:rsidP="00BF787F">
            <w:pPr>
              <w:autoSpaceDE w:val="0"/>
              <w:autoSpaceDN w:val="0"/>
              <w:adjustRightInd w:val="0"/>
              <w:rPr>
                <w:lang w:val="sr-Cyrl-RS"/>
              </w:rPr>
            </w:pPr>
            <w:r w:rsidRPr="00CB12C4">
              <w:t>подршка пројектима едукације и јачање капацитета новинара за одбрану радних и професионалних права у циљу заштите од цензуре и аутоцензуре</w:t>
            </w:r>
          </w:p>
        </w:tc>
        <w:tc>
          <w:tcPr>
            <w:tcW w:w="3622" w:type="dxa"/>
            <w:shd w:val="clear" w:color="auto" w:fill="auto"/>
          </w:tcPr>
          <w:p w:rsidR="001B57DA" w:rsidRPr="00CB12C4" w:rsidRDefault="003B7BBF" w:rsidP="00BF787F">
            <w:pPr>
              <w:rPr>
                <w:lang w:val="sr-Cyrl-RS"/>
              </w:rPr>
            </w:pPr>
            <w:r w:rsidRPr="003B7BBF">
              <w:rPr>
                <w:lang w:val="sr-Cyrl-RS"/>
              </w:rPr>
              <w:t>Министарство информисања и телекомуникација</w:t>
            </w:r>
          </w:p>
        </w:tc>
        <w:tc>
          <w:tcPr>
            <w:tcW w:w="2919" w:type="dxa"/>
            <w:shd w:val="clear" w:color="auto" w:fill="auto"/>
          </w:tcPr>
          <w:p w:rsidR="001B57DA" w:rsidRPr="00CB12C4" w:rsidRDefault="001B57DA" w:rsidP="00BF787F">
            <w:r w:rsidRPr="00CB12C4">
              <w:rPr>
                <w:lang w:val="sr-Cyrl-RS"/>
              </w:rPr>
              <w:t>Министарство за рад, запошљавање, борачка и социјална питања,</w:t>
            </w:r>
            <w:r w:rsidRPr="00CB12C4">
              <w:rPr>
                <w:color w:val="FF0000"/>
                <w:lang w:val="sr-Cyrl-RS"/>
              </w:rPr>
              <w:t xml:space="preserve"> </w:t>
            </w:r>
            <w:r w:rsidRPr="00CB12C4">
              <w:rPr>
                <w:lang w:val="sr-Cyrl-RS"/>
              </w:rPr>
              <w:t>Заштитник грађана,</w:t>
            </w:r>
            <w:r w:rsidRPr="00CB12C4">
              <w:t xml:space="preserve"> </w:t>
            </w:r>
            <w:r w:rsidRPr="00CB12C4">
              <w:rPr>
                <w:lang w:val="sr-Cyrl-RS"/>
              </w:rPr>
              <w:t>Мисија ОЕБС-а, новинарска и медијска удружења и синдикалне организације</w:t>
            </w:r>
          </w:p>
        </w:tc>
      </w:tr>
      <w:tr w:rsidR="001B57DA" w:rsidRPr="00CB12C4" w:rsidTr="00BF787F">
        <w:trPr>
          <w:trHeight w:val="140"/>
        </w:trPr>
        <w:tc>
          <w:tcPr>
            <w:tcW w:w="3258" w:type="dxa"/>
            <w:shd w:val="clear" w:color="auto" w:fill="auto"/>
          </w:tcPr>
          <w:p w:rsidR="001B57DA" w:rsidRPr="00CB12C4" w:rsidRDefault="001B57DA" w:rsidP="00BF787F">
            <w:pPr>
              <w:autoSpaceDE w:val="0"/>
              <w:autoSpaceDN w:val="0"/>
              <w:adjustRightInd w:val="0"/>
              <w:rPr>
                <w:lang w:val="sr-Cyrl-RS"/>
              </w:rPr>
            </w:pPr>
            <w:r w:rsidRPr="00CB12C4">
              <w:rPr>
                <w:lang w:val="sr-Cyrl-RS"/>
              </w:rPr>
              <w:t>доношење интерних мера и процедура у вези са политикама за постизање родне равноправности у јавним медијским сервисима, уз осигуравање учешћа жена у осмишљавању и спровођењу делотворних родно осетљивих политика и програма</w:t>
            </w:r>
          </w:p>
        </w:tc>
        <w:tc>
          <w:tcPr>
            <w:tcW w:w="3622" w:type="dxa"/>
            <w:shd w:val="clear" w:color="auto" w:fill="auto"/>
          </w:tcPr>
          <w:p w:rsidR="001B57DA" w:rsidRPr="00CB12C4" w:rsidRDefault="001B57DA" w:rsidP="00BF787F">
            <w:pPr>
              <w:rPr>
                <w:lang w:val="sr-Cyrl-RS"/>
              </w:rPr>
            </w:pPr>
            <w:r w:rsidRPr="00CB12C4">
              <w:rPr>
                <w:lang w:val="sr-Cyrl-RS"/>
              </w:rPr>
              <w:t xml:space="preserve">Јавни медијски сервиси </w:t>
            </w:r>
          </w:p>
          <w:p w:rsidR="001B57DA" w:rsidRPr="00CB12C4" w:rsidRDefault="001B57DA" w:rsidP="00BF787F"/>
        </w:tc>
        <w:tc>
          <w:tcPr>
            <w:tcW w:w="2919" w:type="dxa"/>
            <w:shd w:val="clear" w:color="auto" w:fill="auto"/>
          </w:tcPr>
          <w:p w:rsidR="001B57DA" w:rsidRPr="00CB12C4" w:rsidRDefault="001B57DA" w:rsidP="00BF787F">
            <w:r w:rsidRPr="00CB12C4">
              <w:rPr>
                <w:lang w:val="sr-Cyrl-RS"/>
              </w:rPr>
              <w:t>Министарство за људска и мањинска права и друштвени дијалог,</w:t>
            </w:r>
            <w:r w:rsidRPr="00CB12C4">
              <w:rPr>
                <w:color w:val="FF0000"/>
                <w:lang w:val="sr-Latn-RS"/>
              </w:rPr>
              <w:t xml:space="preserve"> </w:t>
            </w:r>
            <w:r w:rsidRPr="00CB12C4">
              <w:rPr>
                <w:lang w:val="sr-Latn-RS"/>
              </w:rPr>
              <w:t xml:space="preserve">Заштитник грађана, </w:t>
            </w:r>
            <w:r w:rsidRPr="00CB12C4">
              <w:rPr>
                <w:lang w:val="sr-Cyrl-RS"/>
              </w:rPr>
              <w:t xml:space="preserve"> Повереник за заштиту равноправности</w:t>
            </w:r>
          </w:p>
        </w:tc>
      </w:tr>
      <w:tr w:rsidR="001B57DA" w:rsidRPr="00CB12C4" w:rsidTr="00BF787F">
        <w:trPr>
          <w:trHeight w:val="140"/>
        </w:trPr>
        <w:tc>
          <w:tcPr>
            <w:tcW w:w="3258" w:type="dxa"/>
            <w:shd w:val="clear" w:color="auto" w:fill="auto"/>
          </w:tcPr>
          <w:p w:rsidR="001B57DA" w:rsidRPr="00CB12C4" w:rsidRDefault="001B57DA" w:rsidP="00BF787F">
            <w:pPr>
              <w:autoSpaceDE w:val="0"/>
              <w:autoSpaceDN w:val="0"/>
              <w:adjustRightInd w:val="0"/>
              <w:rPr>
                <w:lang w:val="sr-Cyrl-RS"/>
              </w:rPr>
            </w:pPr>
            <w:r w:rsidRPr="00CB12C4">
              <w:rPr>
                <w:lang w:val="sr-Cyrl-RS"/>
              </w:rPr>
              <w:t>стварање услова за већу заступљеност жена (новинарки) међу уредницима и на положајима на којима се доносе одлуке, као и услова рада који омогућавају усклађивање пословних обавеза са приватним</w:t>
            </w:r>
          </w:p>
        </w:tc>
        <w:tc>
          <w:tcPr>
            <w:tcW w:w="3622" w:type="dxa"/>
            <w:shd w:val="clear" w:color="auto" w:fill="auto"/>
          </w:tcPr>
          <w:p w:rsidR="001B57DA" w:rsidRPr="00CB12C4" w:rsidRDefault="001B57DA" w:rsidP="00BF787F">
            <w:pPr>
              <w:rPr>
                <w:lang w:val="sr-Cyrl-RS"/>
              </w:rPr>
            </w:pPr>
            <w:r w:rsidRPr="00CB12C4">
              <w:rPr>
                <w:lang w:val="sr-Cyrl-RS"/>
              </w:rPr>
              <w:t>Министарство за људска и мањинска права и друштвени дијалог</w:t>
            </w:r>
          </w:p>
        </w:tc>
        <w:tc>
          <w:tcPr>
            <w:tcW w:w="2919" w:type="dxa"/>
            <w:shd w:val="clear" w:color="auto" w:fill="auto"/>
          </w:tcPr>
          <w:p w:rsidR="001B57DA" w:rsidRPr="00CB12C4" w:rsidRDefault="001B57DA" w:rsidP="00BF787F">
            <w:pPr>
              <w:jc w:val="center"/>
            </w:pPr>
            <w:r w:rsidRPr="00CB12C4">
              <w:rPr>
                <w:lang w:val="sr-Cyrl-RS"/>
              </w:rPr>
              <w:t>Повереник за заштиту равноправности</w:t>
            </w:r>
            <w:r w:rsidRPr="00CB12C4">
              <w:t xml:space="preserve">, </w:t>
            </w:r>
            <w:r w:rsidRPr="00CB12C4">
              <w:rPr>
                <w:lang w:val="sr-Cyrl-RS"/>
              </w:rPr>
              <w:t xml:space="preserve">новинарска и медијска удружења и организације </w:t>
            </w:r>
          </w:p>
        </w:tc>
      </w:tr>
      <w:tr w:rsidR="001B57DA" w:rsidRPr="00CB12C4" w:rsidTr="00BF787F">
        <w:trPr>
          <w:trHeight w:val="140"/>
        </w:trPr>
        <w:tc>
          <w:tcPr>
            <w:tcW w:w="3258" w:type="dxa"/>
            <w:shd w:val="clear" w:color="auto" w:fill="auto"/>
          </w:tcPr>
          <w:p w:rsidR="001B57DA" w:rsidRPr="00CB12C4" w:rsidRDefault="001B57DA" w:rsidP="00BF787F">
            <w:pPr>
              <w:autoSpaceDE w:val="0"/>
              <w:autoSpaceDN w:val="0"/>
              <w:adjustRightInd w:val="0"/>
              <w:rPr>
                <w:strike/>
                <w:lang w:val="sr-Cyrl-RS"/>
              </w:rPr>
            </w:pPr>
            <w:r w:rsidRPr="00CB12C4">
              <w:rPr>
                <w:lang w:val="sr-Cyrl-RS"/>
              </w:rPr>
              <w:lastRenderedPageBreak/>
              <w:t>изменом регулативе (Уредба о садржини, обрасцу и начину подношења јединствене пријаве на обавезно социјално осигурање, јединственим методолошким принципима и јединственом кодексу шифара за унос података у јединствену базу централног регистра обавезног социјалног осигурања) обезбедити</w:t>
            </w:r>
          </w:p>
          <w:p w:rsidR="001B57DA" w:rsidRPr="00CB12C4" w:rsidRDefault="001B57DA" w:rsidP="00BF787F">
            <w:pPr>
              <w:autoSpaceDE w:val="0"/>
              <w:autoSpaceDN w:val="0"/>
              <w:adjustRightInd w:val="0"/>
              <w:rPr>
                <w:lang w:val="sr-Cyrl-RS"/>
              </w:rPr>
            </w:pPr>
            <w:r w:rsidRPr="00CB12C4">
              <w:rPr>
                <w:lang w:val="sr-Cyrl-RS"/>
              </w:rPr>
              <w:t xml:space="preserve"> прикупљање података и израдити анализу о укључености, односно радне ангажованости особа са инвалидитетом у медијском простору</w:t>
            </w:r>
          </w:p>
        </w:tc>
        <w:tc>
          <w:tcPr>
            <w:tcW w:w="3622" w:type="dxa"/>
            <w:shd w:val="clear" w:color="auto" w:fill="auto"/>
          </w:tcPr>
          <w:p w:rsidR="001B57DA" w:rsidRPr="00CB12C4" w:rsidRDefault="001B57DA" w:rsidP="00BF787F">
            <w:pPr>
              <w:rPr>
                <w:lang w:val="sr-Cyrl-RS"/>
              </w:rPr>
            </w:pPr>
            <w:r w:rsidRPr="00CB12C4">
              <w:rPr>
                <w:lang w:val="sr-Cyrl-RS"/>
              </w:rPr>
              <w:t>Министарство финансија</w:t>
            </w:r>
          </w:p>
        </w:tc>
        <w:tc>
          <w:tcPr>
            <w:tcW w:w="2919" w:type="dxa"/>
            <w:shd w:val="clear" w:color="auto" w:fill="auto"/>
          </w:tcPr>
          <w:p w:rsidR="001B57DA" w:rsidRPr="00CB12C4" w:rsidRDefault="001B57DA" w:rsidP="00BF787F">
            <w:pPr>
              <w:jc w:val="center"/>
            </w:pPr>
            <w:r w:rsidRPr="00CB12C4">
              <w:rPr>
                <w:lang w:val="sr-Cyrl-RS"/>
              </w:rPr>
              <w:t>Министарство за рад, запошљавање, борачка и социјална питања Повереник за заштиту равноправности</w:t>
            </w:r>
            <w:r w:rsidRPr="00CB12C4">
              <w:t xml:space="preserve">, </w:t>
            </w:r>
            <w:r w:rsidRPr="00CB12C4">
              <w:rPr>
                <w:lang w:val="sr-Cyrl-RS"/>
              </w:rPr>
              <w:t xml:space="preserve">Републички завод за статистику, Филозофски факултет у Новом Саду, новинарска и медијска удружења и синдикалне организације </w:t>
            </w:r>
          </w:p>
        </w:tc>
      </w:tr>
      <w:tr w:rsidR="001B57DA" w:rsidRPr="00CB12C4" w:rsidTr="00BF787F">
        <w:trPr>
          <w:trHeight w:val="140"/>
        </w:trPr>
        <w:tc>
          <w:tcPr>
            <w:tcW w:w="3258" w:type="dxa"/>
            <w:shd w:val="clear" w:color="auto" w:fill="auto"/>
          </w:tcPr>
          <w:p w:rsidR="001B57DA" w:rsidRPr="00CB12C4" w:rsidRDefault="001B57DA" w:rsidP="00BF787F">
            <w:pPr>
              <w:autoSpaceDE w:val="0"/>
              <w:autoSpaceDN w:val="0"/>
              <w:adjustRightInd w:val="0"/>
              <w:rPr>
                <w:lang w:val="sr-Cyrl-RS"/>
              </w:rPr>
            </w:pPr>
            <w:r w:rsidRPr="00CB12C4">
              <w:rPr>
                <w:lang w:val="sr-Cyrl-RS"/>
              </w:rPr>
              <w:t xml:space="preserve">омогућавање приступачности за равноправно укључивање особа са инвалидитетом у медијском сектору нарочито у ситуацијама када инвалидитет захтева да се прилагоде услови радног места </w:t>
            </w:r>
          </w:p>
        </w:tc>
        <w:tc>
          <w:tcPr>
            <w:tcW w:w="3622" w:type="dxa"/>
            <w:shd w:val="clear" w:color="auto" w:fill="auto"/>
          </w:tcPr>
          <w:p w:rsidR="001B57DA" w:rsidRPr="00CB12C4" w:rsidRDefault="001B57DA" w:rsidP="00BF787F">
            <w:pPr>
              <w:rPr>
                <w:lang w:val="sr-Cyrl-RS"/>
              </w:rPr>
            </w:pPr>
            <w:r w:rsidRPr="00CB12C4">
              <w:rPr>
                <w:lang w:val="sr-Cyrl-RS"/>
              </w:rPr>
              <w:t>Министарство за рад, запошљавање, борачка и социјална питања</w:t>
            </w:r>
          </w:p>
        </w:tc>
        <w:tc>
          <w:tcPr>
            <w:tcW w:w="2919" w:type="dxa"/>
            <w:shd w:val="clear" w:color="auto" w:fill="auto"/>
          </w:tcPr>
          <w:p w:rsidR="001B57DA" w:rsidRPr="00CB12C4" w:rsidRDefault="001B57DA" w:rsidP="00BF787F">
            <w:pPr>
              <w:jc w:val="center"/>
              <w:rPr>
                <w:lang w:val="sr-Cyrl-RS"/>
              </w:rPr>
            </w:pPr>
            <w:r w:rsidRPr="00CB12C4">
              <w:rPr>
                <w:lang w:val="sr-Cyrl-RS"/>
              </w:rPr>
              <w:t>Заштитник грађана,</w:t>
            </w:r>
            <w:r w:rsidRPr="00CB12C4">
              <w:rPr>
                <w:lang w:val="sr-Latn-RS"/>
              </w:rPr>
              <w:t xml:space="preserve"> </w:t>
            </w:r>
            <w:r w:rsidRPr="00CB12C4">
              <w:rPr>
                <w:lang w:val="sr-Cyrl-RS"/>
              </w:rPr>
              <w:t>Повереник за заштиту равноправности</w:t>
            </w:r>
          </w:p>
        </w:tc>
      </w:tr>
      <w:tr w:rsidR="001B57DA" w:rsidRPr="00CB12C4" w:rsidTr="00BF787F">
        <w:trPr>
          <w:trHeight w:val="176"/>
        </w:trPr>
        <w:tc>
          <w:tcPr>
            <w:tcW w:w="3258"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sidRPr="00CB12C4">
              <w:rPr>
                <w:lang w:val="sr-Cyrl-RS"/>
              </w:rPr>
              <w:t>Напредак Републике Србије у Годишњем извештају о напретку Србије у делу који се односи на слободу медија и слободу изражавања</w:t>
            </w:r>
          </w:p>
        </w:tc>
        <w:tc>
          <w:tcPr>
            <w:tcW w:w="3622"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sidRPr="00CB12C4">
              <w:rPr>
                <w:lang w:val="sr-Cyrl-RS"/>
              </w:rPr>
              <w:t>Није остварен напредак/</w:t>
            </w:r>
          </w:p>
          <w:p w:rsidR="001B57DA" w:rsidRPr="00CB12C4" w:rsidRDefault="001B57DA" w:rsidP="00BF787F">
            <w:pPr>
              <w:shd w:val="clear" w:color="auto" w:fill="FFFFFF"/>
              <w:rPr>
                <w:lang w:val="sr-Cyrl-RS"/>
              </w:rPr>
            </w:pPr>
            <w:r w:rsidRPr="00CB12C4">
              <w:rPr>
                <w:lang w:val="sr-Cyrl-RS"/>
              </w:rPr>
              <w:t>Ограничен напредак/известан напредак</w:t>
            </w:r>
          </w:p>
        </w:tc>
        <w:tc>
          <w:tcPr>
            <w:tcW w:w="2919"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sidRPr="00CB12C4">
              <w:rPr>
                <w:lang w:val="sr-Cyrl-RS"/>
              </w:rPr>
              <w:t>Годишњи извештају о напретку Србије</w:t>
            </w:r>
          </w:p>
        </w:tc>
      </w:tr>
      <w:tr w:rsidR="001B57DA" w:rsidRPr="00CB12C4" w:rsidTr="00BF787F">
        <w:trPr>
          <w:trHeight w:val="176"/>
        </w:trPr>
        <w:tc>
          <w:tcPr>
            <w:tcW w:w="3258"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sidRPr="00CB12C4">
              <w:rPr>
                <w:color w:val="000000"/>
                <w:lang w:val="sr-Cyrl-RS"/>
              </w:rPr>
              <w:t>Индекс слободе медија</w:t>
            </w:r>
          </w:p>
        </w:tc>
        <w:tc>
          <w:tcPr>
            <w:tcW w:w="3622"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sidRPr="00CB12C4">
              <w:rPr>
                <w:lang w:val="sr-Cyrl-RS"/>
              </w:rPr>
              <w:t>Позиција Републике Србије на ранг лист</w:t>
            </w:r>
          </w:p>
        </w:tc>
        <w:tc>
          <w:tcPr>
            <w:tcW w:w="2919" w:type="dxa"/>
            <w:tcBorders>
              <w:top w:val="double" w:sz="4" w:space="0" w:color="auto"/>
              <w:bottom w:val="double" w:sz="4" w:space="0" w:color="auto"/>
            </w:tcBorders>
            <w:shd w:val="clear" w:color="auto" w:fill="FFFFFF"/>
          </w:tcPr>
          <w:p w:rsidR="001B57DA" w:rsidRPr="00CB12C4" w:rsidRDefault="001B57DA" w:rsidP="00BF787F">
            <w:pPr>
              <w:shd w:val="clear" w:color="auto" w:fill="FFFFFF"/>
              <w:rPr>
                <w:lang w:val="sr-Cyrl-RS"/>
              </w:rPr>
            </w:pPr>
            <w:r w:rsidRPr="00CB12C4">
              <w:rPr>
                <w:color w:val="000000"/>
                <w:lang w:val="sr-Cyrl-RS"/>
              </w:rPr>
              <w:t>Извештај Репортера без граница</w:t>
            </w:r>
          </w:p>
        </w:tc>
      </w:tr>
      <w:tr w:rsidR="001B57DA" w:rsidRPr="00CB12C4" w:rsidTr="00BF787F">
        <w:trPr>
          <w:trHeight w:val="254"/>
        </w:trPr>
        <w:tc>
          <w:tcPr>
            <w:tcW w:w="3258" w:type="dxa"/>
            <w:shd w:val="clear" w:color="auto" w:fill="auto"/>
          </w:tcPr>
          <w:p w:rsidR="001B57DA" w:rsidRPr="00CB12C4" w:rsidRDefault="001B57DA" w:rsidP="00BF787F">
            <w:pPr>
              <w:shd w:val="clear" w:color="auto" w:fill="FFFFFF"/>
              <w:rPr>
                <w:lang w:val="sr-Cyrl-RS"/>
              </w:rPr>
            </w:pPr>
            <w:r w:rsidRPr="00CB12C4">
              <w:rPr>
                <w:lang w:val="sr-Cyrl-RS"/>
              </w:rPr>
              <w:t>Индекс одрживости медија</w:t>
            </w:r>
          </w:p>
        </w:tc>
        <w:tc>
          <w:tcPr>
            <w:tcW w:w="3622" w:type="dxa"/>
            <w:shd w:val="clear" w:color="auto" w:fill="auto"/>
          </w:tcPr>
          <w:p w:rsidR="001B57DA" w:rsidRPr="00CB12C4" w:rsidRDefault="001B57DA" w:rsidP="00BF787F">
            <w:pPr>
              <w:shd w:val="clear" w:color="auto" w:fill="FFFFFF"/>
              <w:rPr>
                <w:lang w:val="sr-Cyrl-RS"/>
              </w:rPr>
            </w:pPr>
            <w:r w:rsidRPr="00CB12C4">
              <w:rPr>
                <w:lang w:val="sr-Cyrl-RS"/>
              </w:rPr>
              <w:t xml:space="preserve">Оцена </w:t>
            </w:r>
          </w:p>
          <w:p w:rsidR="001B57DA" w:rsidRPr="00CB12C4" w:rsidRDefault="001B57DA" w:rsidP="00BF787F">
            <w:pPr>
              <w:shd w:val="clear" w:color="auto" w:fill="FFFFFF"/>
              <w:rPr>
                <w:lang w:val="sr-Cyrl-RS"/>
              </w:rPr>
            </w:pPr>
            <w:r w:rsidRPr="00CB12C4">
              <w:rPr>
                <w:lang w:val="sr-Cyrl-RS"/>
              </w:rPr>
              <w:t>(од 1 до 4)</w:t>
            </w:r>
          </w:p>
        </w:tc>
        <w:tc>
          <w:tcPr>
            <w:tcW w:w="2919" w:type="dxa"/>
            <w:shd w:val="clear" w:color="auto" w:fill="auto"/>
          </w:tcPr>
          <w:p w:rsidR="001B57DA" w:rsidRPr="00CB12C4" w:rsidRDefault="001B57DA" w:rsidP="00BF787F">
            <w:pPr>
              <w:shd w:val="clear" w:color="auto" w:fill="FFFFFF"/>
              <w:rPr>
                <w:lang w:val="sr-Cyrl-RS"/>
              </w:rPr>
            </w:pPr>
            <w:r w:rsidRPr="00CB12C4">
              <w:rPr>
                <w:lang w:val="sr-Cyrl-RS"/>
              </w:rPr>
              <w:t xml:space="preserve">Годишњи извештај </w:t>
            </w:r>
            <w:r w:rsidRPr="00CB12C4">
              <w:rPr>
                <w:lang w:val="sr-Latn-RS"/>
              </w:rPr>
              <w:t>IREX-a</w:t>
            </w:r>
          </w:p>
        </w:tc>
      </w:tr>
      <w:tr w:rsidR="001B57DA" w:rsidRPr="00CB12C4" w:rsidTr="00BF787F">
        <w:trPr>
          <w:trHeight w:val="254"/>
        </w:trPr>
        <w:tc>
          <w:tcPr>
            <w:tcW w:w="3258" w:type="dxa"/>
            <w:shd w:val="clear" w:color="auto" w:fill="auto"/>
          </w:tcPr>
          <w:p w:rsidR="001B57DA" w:rsidRPr="00CB12C4" w:rsidRDefault="001B57DA" w:rsidP="00BF787F">
            <w:pPr>
              <w:shd w:val="clear" w:color="auto" w:fill="FFFFFF"/>
              <w:rPr>
                <w:lang w:val="sr-Cyrl-RS"/>
              </w:rPr>
            </w:pPr>
            <w:r w:rsidRPr="00CB12C4">
              <w:rPr>
                <w:lang w:val="sr-Cyrl-RS"/>
              </w:rPr>
              <w:t>Концентрација публике, вертикална концентрација и политичка контрола над финансирањем медија</w:t>
            </w:r>
          </w:p>
        </w:tc>
        <w:tc>
          <w:tcPr>
            <w:tcW w:w="3622" w:type="dxa"/>
            <w:shd w:val="clear" w:color="auto" w:fill="auto"/>
          </w:tcPr>
          <w:p w:rsidR="001B57DA" w:rsidRPr="00CB12C4" w:rsidRDefault="001B57DA" w:rsidP="00BF787F">
            <w:pPr>
              <w:shd w:val="clear" w:color="auto" w:fill="FFFFFF"/>
              <w:rPr>
                <w:lang w:val="sr-Cyrl-RS"/>
              </w:rPr>
            </w:pPr>
            <w:r w:rsidRPr="00CB12C4">
              <w:rPr>
                <w:lang w:val="sr-Cyrl-RS"/>
              </w:rPr>
              <w:t>висок ризик/ средњи ризик/ низак ризик</w:t>
            </w:r>
          </w:p>
        </w:tc>
        <w:tc>
          <w:tcPr>
            <w:tcW w:w="2919" w:type="dxa"/>
            <w:shd w:val="clear" w:color="auto" w:fill="auto"/>
          </w:tcPr>
          <w:p w:rsidR="001B57DA" w:rsidRPr="00CB12C4" w:rsidRDefault="001B57DA" w:rsidP="00BF787F">
            <w:pPr>
              <w:shd w:val="clear" w:color="auto" w:fill="FFFFFF"/>
              <w:rPr>
                <w:lang w:val="sr-Latn-RS"/>
              </w:rPr>
            </w:pPr>
            <w:r w:rsidRPr="00CB12C4">
              <w:rPr>
                <w:lang w:val="sr-Cyrl-RS"/>
              </w:rPr>
              <w:t xml:space="preserve">Истраживање </w:t>
            </w:r>
            <w:r w:rsidRPr="00CB12C4">
              <w:rPr>
                <w:lang w:val="sr-Latn-RS"/>
              </w:rPr>
              <w:t>Media Ownership Monitor</w:t>
            </w:r>
          </w:p>
        </w:tc>
      </w:tr>
      <w:tr w:rsidR="001B57DA" w:rsidRPr="00CB12C4" w:rsidTr="00BF787F">
        <w:trPr>
          <w:trHeight w:val="254"/>
        </w:trPr>
        <w:tc>
          <w:tcPr>
            <w:tcW w:w="3258" w:type="dxa"/>
            <w:shd w:val="clear" w:color="auto" w:fill="auto"/>
          </w:tcPr>
          <w:p w:rsidR="001B57DA" w:rsidRPr="00CB12C4" w:rsidRDefault="001B57DA" w:rsidP="00BF787F">
            <w:pPr>
              <w:shd w:val="clear" w:color="auto" w:fill="FFFFFF"/>
              <w:rPr>
                <w:lang w:val="sr-Cyrl-RS"/>
              </w:rPr>
            </w:pPr>
            <w:r w:rsidRPr="00CB12C4">
              <w:rPr>
                <w:lang w:val="sr-Cyrl-RS"/>
              </w:rPr>
              <w:t>Регулаторне одредбе за превенцију концентрације, регулаторне одрдбе за вертикалну концентрацију, транспарентност власништва и политичка контрола над новинским агенцијама</w:t>
            </w:r>
          </w:p>
        </w:tc>
        <w:tc>
          <w:tcPr>
            <w:tcW w:w="3622" w:type="dxa"/>
            <w:shd w:val="clear" w:color="auto" w:fill="auto"/>
          </w:tcPr>
          <w:p w:rsidR="001B57DA" w:rsidRPr="00CB12C4" w:rsidRDefault="001B57DA" w:rsidP="00BF787F">
            <w:pPr>
              <w:shd w:val="clear" w:color="auto" w:fill="FFFFFF"/>
              <w:rPr>
                <w:lang w:val="sr-Cyrl-RS"/>
              </w:rPr>
            </w:pPr>
            <w:r w:rsidRPr="00CB12C4">
              <w:rPr>
                <w:lang w:val="sr-Cyrl-RS"/>
              </w:rPr>
              <w:t>висок ризик/ средњи ризик/ низак ризик</w:t>
            </w:r>
          </w:p>
        </w:tc>
        <w:tc>
          <w:tcPr>
            <w:tcW w:w="2919" w:type="dxa"/>
            <w:shd w:val="clear" w:color="auto" w:fill="auto"/>
          </w:tcPr>
          <w:p w:rsidR="001B57DA" w:rsidRPr="00CB12C4" w:rsidRDefault="001B57DA" w:rsidP="00BF787F">
            <w:pPr>
              <w:shd w:val="clear" w:color="auto" w:fill="FFFFFF"/>
              <w:rPr>
                <w:lang w:val="sr-Cyrl-RS"/>
              </w:rPr>
            </w:pPr>
            <w:r w:rsidRPr="00CB12C4">
              <w:rPr>
                <w:lang w:val="sr-Cyrl-RS"/>
              </w:rPr>
              <w:t xml:space="preserve">Истраживање </w:t>
            </w:r>
            <w:r w:rsidRPr="00CB12C4">
              <w:rPr>
                <w:lang w:val="sr-Latn-RS"/>
              </w:rPr>
              <w:t>Media Ownership Monitor</w:t>
            </w:r>
          </w:p>
        </w:tc>
      </w:tr>
      <w:tr w:rsidR="001B57DA" w:rsidRPr="00CB12C4" w:rsidTr="00BF787F">
        <w:trPr>
          <w:trHeight w:val="1329"/>
        </w:trPr>
        <w:tc>
          <w:tcPr>
            <w:tcW w:w="3258" w:type="dxa"/>
            <w:shd w:val="clear" w:color="auto" w:fill="auto"/>
          </w:tcPr>
          <w:p w:rsidR="001B57DA" w:rsidRPr="00CB12C4" w:rsidRDefault="001B57DA" w:rsidP="00BF787F">
            <w:r w:rsidRPr="00CB12C4">
              <w:lastRenderedPageBreak/>
              <w:t xml:space="preserve">урађенe и објављенe </w:t>
            </w:r>
            <w:r w:rsidRPr="00CB12C4">
              <w:rPr>
                <w:lang w:val="sr-Cyrl-RS"/>
              </w:rPr>
              <w:t xml:space="preserve"> </w:t>
            </w:r>
            <w:r w:rsidRPr="00CB12C4">
              <w:t>анализe релевантног медијског тржишта;</w:t>
            </w:r>
          </w:p>
          <w:p w:rsidR="001B57DA" w:rsidRPr="00CB12C4" w:rsidRDefault="001B57DA" w:rsidP="00BF787F">
            <w:pPr>
              <w:shd w:val="clear" w:color="auto" w:fill="FFFFFF"/>
              <w:rPr>
                <w:lang w:val="sr-Cyrl-RS"/>
              </w:rPr>
            </w:pPr>
          </w:p>
        </w:tc>
        <w:tc>
          <w:tcPr>
            <w:tcW w:w="3622" w:type="dxa"/>
            <w:shd w:val="clear" w:color="auto" w:fill="auto"/>
          </w:tcPr>
          <w:p w:rsidR="001B57DA" w:rsidRPr="00CB12C4" w:rsidRDefault="001B57DA" w:rsidP="00BF787F">
            <w:pPr>
              <w:shd w:val="clear" w:color="auto" w:fill="FFFFFF"/>
              <w:jc w:val="center"/>
              <w:rPr>
                <w:lang w:val="sr-Cyrl-RS"/>
              </w:rPr>
            </w:pPr>
            <w:r w:rsidRPr="00CB12C4">
              <w:rPr>
                <w:lang w:val="sr-Cyrl-RS"/>
              </w:rPr>
              <w:t>ДА/НЕ</w:t>
            </w:r>
          </w:p>
        </w:tc>
        <w:tc>
          <w:tcPr>
            <w:tcW w:w="2919" w:type="dxa"/>
            <w:shd w:val="clear" w:color="auto" w:fill="auto"/>
          </w:tcPr>
          <w:p w:rsidR="001B57DA" w:rsidRPr="00CB12C4" w:rsidRDefault="001B57DA" w:rsidP="003B7BBF">
            <w:pPr>
              <w:shd w:val="clear" w:color="auto" w:fill="FFFFFF"/>
              <w:jc w:val="center"/>
            </w:pPr>
            <w:r w:rsidRPr="00CB12C4">
              <w:t xml:space="preserve"> </w:t>
            </w:r>
            <w:r w:rsidRPr="00CB12C4">
              <w:rPr>
                <w:lang w:val="sr-Cyrl-RS"/>
              </w:rPr>
              <w:t xml:space="preserve">Извештаји </w:t>
            </w:r>
            <w:r w:rsidR="003B7BBF" w:rsidRPr="003B7BBF">
              <w:rPr>
                <w:lang w:val="sr-Cyrl-RS"/>
              </w:rPr>
              <w:t>Министарство информисања и телекомуникација</w:t>
            </w:r>
            <w:r w:rsidRPr="00CB12C4">
              <w:rPr>
                <w:lang w:val="sr-Cyrl-RS"/>
              </w:rPr>
              <w:t>, Регулаторног тела за електронске медије, Републичке агенције за телекомуникације и поштанске услуге</w:t>
            </w:r>
          </w:p>
        </w:tc>
      </w:tr>
    </w:tbl>
    <w:p w:rsidR="001B57DA" w:rsidRPr="00CB12C4" w:rsidRDefault="001B57DA" w:rsidP="001B57DA">
      <w:pPr>
        <w:jc w:val="both"/>
        <w:rPr>
          <w:lang w:val="sr-Cyrl-CS"/>
        </w:rPr>
      </w:pPr>
    </w:p>
    <w:p w:rsidR="001B57DA" w:rsidRPr="00CB12C4" w:rsidRDefault="001B57DA" w:rsidP="001B57DA">
      <w:pPr>
        <w:ind w:firstLine="720"/>
        <w:jc w:val="both"/>
        <w:rPr>
          <w:lang w:val="ru-RU"/>
        </w:rPr>
      </w:pPr>
      <w:r w:rsidRPr="00CB12C4">
        <w:rPr>
          <w:lang w:val="ru-RU"/>
        </w:rPr>
        <w:t>Анализом других могућности за решавање проблема установљено је да је, између свих алтернатива, најцелисходнији, најделотворнији и најпоузданији начин за решавање напред наведених проблема - доношење новог закона којим ће да се уреди област јавног информисања и медија.</w:t>
      </w:r>
    </w:p>
    <w:p w:rsidR="001B57DA" w:rsidRPr="00CB12C4" w:rsidRDefault="001B57DA" w:rsidP="001B57DA">
      <w:pPr>
        <w:ind w:firstLine="720"/>
        <w:jc w:val="both"/>
        <w:rPr>
          <w:lang w:val="ru-RU"/>
        </w:rPr>
      </w:pPr>
    </w:p>
    <w:p w:rsidR="001B57DA" w:rsidRPr="00CB12C4" w:rsidRDefault="001B57DA" w:rsidP="001B57DA">
      <w:pPr>
        <w:ind w:firstLine="720"/>
        <w:jc w:val="both"/>
        <w:rPr>
          <w:lang w:val="ru-RU"/>
        </w:rPr>
      </w:pPr>
      <w:r w:rsidRPr="00CB12C4">
        <w:rPr>
          <w:lang w:val="ru-RU"/>
        </w:rPr>
        <w:t xml:space="preserve">Наиме, у случају </w:t>
      </w:r>
      <w:r w:rsidRPr="00CB12C4">
        <w:rPr>
          <w:i/>
          <w:lang w:val="sr-Latn-CS"/>
        </w:rPr>
        <w:t>status quo</w:t>
      </w:r>
      <w:r w:rsidRPr="00CB12C4">
        <w:rPr>
          <w:lang w:val="sr-Latn-CS"/>
        </w:rPr>
        <w:t xml:space="preserve"> </w:t>
      </w:r>
      <w:r w:rsidRPr="00CB12C4">
        <w:rPr>
          <w:lang w:val="sr-Cyrl-CS"/>
        </w:rPr>
        <w:t>опције, односно непредузимања мера државне интервенције, које могу бити нерегулаторне и регулаторне, није могуће решити проблеме у овој области од јавног интереса. Проблеме ове области - само друштво, без утицаја државе, није у стању да реши, а решавање предметних проблема није могуће постићи ни у случају с</w:t>
      </w:r>
      <w:r w:rsidRPr="00CB12C4">
        <w:rPr>
          <w:lang w:val="ru-RU"/>
        </w:rPr>
        <w:t>амосталног деловања нерегулаторних механизма</w:t>
      </w:r>
      <w:r w:rsidRPr="00CB12C4">
        <w:rPr>
          <w:lang w:val="sr-Latn-CS"/>
        </w:rPr>
        <w:t>.</w:t>
      </w:r>
      <w:r w:rsidRPr="00CB12C4">
        <w:rPr>
          <w:lang w:val="sr-Cyrl-RS"/>
        </w:rPr>
        <w:t xml:space="preserve"> </w:t>
      </w:r>
      <w:r w:rsidRPr="00CB12C4">
        <w:rPr>
          <w:lang w:val="ru-RU"/>
        </w:rPr>
        <w:t>Само интервенционим мерама нерегулаторне и економске природе, попут субвенција, расписивања конкурса за учешће у програмима и пројектима и др., или мерама друштвене (социјалне) природе, са нижим степеном државне интервенције</w:t>
      </w:r>
      <w:r w:rsidRPr="00CB12C4">
        <w:rPr>
          <w:lang w:val="sr-Cyrl-CS"/>
        </w:rPr>
        <w:t xml:space="preserve">, </w:t>
      </w:r>
      <w:r w:rsidRPr="00CB12C4">
        <w:rPr>
          <w:lang w:val="ru-RU"/>
        </w:rPr>
        <w:t>не би било могуће решити предметне проблеме, а свака од ових мера имала би ограничено и привремено дејство. Потребно је да мере ове врсте прате примену овог закона у пракси, али искључиво оне саме, изоловане и без снаге законског ауторитета, у постојећем систему нису у стању да реше предметне проблеме.</w:t>
      </w:r>
    </w:p>
    <w:p w:rsidR="001B57DA" w:rsidRPr="00CB12C4" w:rsidRDefault="001B57DA" w:rsidP="001B57DA">
      <w:pPr>
        <w:ind w:firstLine="720"/>
        <w:jc w:val="both"/>
        <w:rPr>
          <w:lang w:val="ru-RU"/>
        </w:rPr>
      </w:pPr>
    </w:p>
    <w:p w:rsidR="001B57DA" w:rsidRPr="00CB12C4" w:rsidRDefault="001B57DA" w:rsidP="001B57DA">
      <w:pPr>
        <w:ind w:firstLine="720"/>
        <w:jc w:val="both"/>
        <w:rPr>
          <w:lang w:val="ru-RU"/>
        </w:rPr>
      </w:pPr>
      <w:r w:rsidRPr="00CB12C4">
        <w:rPr>
          <w:lang w:val="ru-RU"/>
        </w:rPr>
        <w:t>У оквиру мера регулаторне природе једино одговарајуће решење је било доношење закона, будући да конкретна материја по својој природи не представља предмет подзаконских аката, који се доносе на основу закона и ради спровођења закона.</w:t>
      </w:r>
    </w:p>
    <w:p w:rsidR="001B57DA" w:rsidRPr="00CB12C4" w:rsidRDefault="001B57DA" w:rsidP="001B57DA">
      <w:pPr>
        <w:jc w:val="both"/>
        <w:rPr>
          <w:sz w:val="20"/>
          <w:szCs w:val="20"/>
          <w:lang w:val="sr-Cyrl-CS"/>
        </w:rPr>
      </w:pPr>
    </w:p>
    <w:p w:rsidR="001B57DA" w:rsidRPr="00CB12C4" w:rsidRDefault="001B57DA" w:rsidP="001B57DA">
      <w:pPr>
        <w:jc w:val="both"/>
        <w:rPr>
          <w:sz w:val="20"/>
          <w:szCs w:val="20"/>
          <w:lang w:val="sr-Cyrl-CS"/>
        </w:rPr>
      </w:pPr>
    </w:p>
    <w:p w:rsidR="001B57DA" w:rsidRPr="00CB12C4" w:rsidRDefault="001B57DA" w:rsidP="001B57DA">
      <w:pPr>
        <w:numPr>
          <w:ilvl w:val="0"/>
          <w:numId w:val="29"/>
        </w:numPr>
        <w:rPr>
          <w:b/>
          <w:sz w:val="25"/>
          <w:szCs w:val="25"/>
          <w:lang w:val="sr-Cyrl-CS"/>
        </w:rPr>
      </w:pPr>
      <w:r w:rsidRPr="00CB12C4">
        <w:rPr>
          <w:b/>
          <w:sz w:val="25"/>
          <w:szCs w:val="25"/>
          <w:lang w:val="ru-RU"/>
        </w:rPr>
        <w:t>Анализа ефеката изабране опције јавне политике</w:t>
      </w:r>
    </w:p>
    <w:p w:rsidR="001B57DA" w:rsidRPr="00CB12C4" w:rsidRDefault="001B57DA" w:rsidP="001B57DA">
      <w:pPr>
        <w:jc w:val="center"/>
        <w:rPr>
          <w:b/>
          <w:lang w:val="ru-RU"/>
        </w:rPr>
      </w:pPr>
    </w:p>
    <w:p w:rsidR="001B57DA" w:rsidRPr="00CB12C4" w:rsidRDefault="001B57DA" w:rsidP="001B57DA">
      <w:pPr>
        <w:ind w:firstLine="720"/>
        <w:jc w:val="both"/>
        <w:rPr>
          <w:lang w:val="ru-RU"/>
        </w:rPr>
      </w:pPr>
      <w:r w:rsidRPr="00CB12C4">
        <w:rPr>
          <w:lang w:val="sr-Cyrl-RS"/>
        </w:rPr>
        <w:t xml:space="preserve">Основне новине </w:t>
      </w:r>
      <w:r w:rsidRPr="00CB12C4">
        <w:rPr>
          <w:lang w:val="ru-RU"/>
        </w:rPr>
        <w:t>Нацрта закона о јавном информисању и медијима састоје се у:</w:t>
      </w:r>
    </w:p>
    <w:p w:rsidR="001B57DA" w:rsidRPr="00CB12C4" w:rsidRDefault="001B57DA" w:rsidP="001B57DA">
      <w:pPr>
        <w:ind w:firstLine="720"/>
        <w:jc w:val="both"/>
        <w:rPr>
          <w:lang w:val="ru-RU"/>
        </w:rPr>
      </w:pPr>
    </w:p>
    <w:p w:rsidR="001B57DA" w:rsidRPr="00CB12C4" w:rsidRDefault="001B57DA" w:rsidP="001B57DA">
      <w:pPr>
        <w:numPr>
          <w:ilvl w:val="0"/>
          <w:numId w:val="35"/>
        </w:numPr>
        <w:jc w:val="both"/>
        <w:rPr>
          <w:lang w:val="ru-RU"/>
        </w:rPr>
      </w:pPr>
      <w:r w:rsidRPr="00CB12C4">
        <w:rPr>
          <w:lang w:val="ru-RU"/>
        </w:rPr>
        <w:t>потпунијем уређењу јавног интереса у области јавног информисања;</w:t>
      </w:r>
    </w:p>
    <w:p w:rsidR="001B57DA" w:rsidRPr="00CB12C4" w:rsidRDefault="001B57DA" w:rsidP="001B57DA">
      <w:pPr>
        <w:numPr>
          <w:ilvl w:val="0"/>
          <w:numId w:val="35"/>
        </w:numPr>
        <w:jc w:val="both"/>
        <w:rPr>
          <w:lang w:val="ru-RU"/>
        </w:rPr>
      </w:pPr>
      <w:r w:rsidRPr="00CB12C4">
        <w:rPr>
          <w:lang w:val="ru-RU"/>
        </w:rPr>
        <w:t>потпунијем уређењу рада издавача медија чији су оснивачи савети националних мањина;</w:t>
      </w:r>
    </w:p>
    <w:p w:rsidR="001B57DA" w:rsidRPr="00CB12C4" w:rsidRDefault="001B57DA" w:rsidP="001B57DA">
      <w:pPr>
        <w:numPr>
          <w:ilvl w:val="0"/>
          <w:numId w:val="35"/>
        </w:numPr>
        <w:jc w:val="both"/>
        <w:rPr>
          <w:lang w:val="ru-RU"/>
        </w:rPr>
      </w:pPr>
      <w:r w:rsidRPr="00CB12C4">
        <w:rPr>
          <w:lang w:val="ru-RU"/>
        </w:rPr>
        <w:t>потпунијем уређењу поступка пројектног суфинансирања и предвиђеном успостављању Јединственог информационог система за спровођење и праћење суфинансирања пројеката у области јавног информисања, чиме се унапређује правна сигурност и транспарентност овог поступка;</w:t>
      </w:r>
    </w:p>
    <w:p w:rsidR="001B57DA" w:rsidRDefault="001B57DA" w:rsidP="001B57DA">
      <w:pPr>
        <w:numPr>
          <w:ilvl w:val="0"/>
          <w:numId w:val="35"/>
        </w:numPr>
        <w:jc w:val="both"/>
        <w:rPr>
          <w:lang w:val="ru-RU"/>
        </w:rPr>
      </w:pPr>
      <w:r w:rsidRPr="00CB12C4">
        <w:rPr>
          <w:lang w:val="ru-RU"/>
        </w:rPr>
        <w:t>установљава се Евиденција произвођача медијских садржаја уз постојећи Регистар медија;</w:t>
      </w:r>
    </w:p>
    <w:p w:rsidR="003B7BBF" w:rsidRPr="00CB12C4" w:rsidRDefault="003B7BBF" w:rsidP="003B7BBF">
      <w:pPr>
        <w:jc w:val="both"/>
        <w:rPr>
          <w:lang w:val="ru-RU"/>
        </w:rPr>
      </w:pPr>
    </w:p>
    <w:p w:rsidR="001B57DA" w:rsidRDefault="001B57DA" w:rsidP="001B57DA">
      <w:pPr>
        <w:numPr>
          <w:ilvl w:val="0"/>
          <w:numId w:val="35"/>
        </w:numPr>
        <w:jc w:val="both"/>
        <w:rPr>
          <w:lang w:val="ru-RU"/>
        </w:rPr>
      </w:pPr>
      <w:r w:rsidRPr="00CB12C4">
        <w:rPr>
          <w:lang w:val="ru-RU"/>
        </w:rPr>
        <w:lastRenderedPageBreak/>
        <w:t>пружа се радноправна заштита новинарима, у складу са прописима из области радног права, којом се појачава заштита професионалног новинарског интегритета од шиканирања и других облика злоупотреба закона, ради остварења слободе јавног информисања</w:t>
      </w:r>
      <w:r>
        <w:rPr>
          <w:lang w:val="ru-RU"/>
        </w:rPr>
        <w:t>;</w:t>
      </w:r>
    </w:p>
    <w:p w:rsidR="001B57DA" w:rsidRPr="00CB12C4" w:rsidRDefault="001B57DA" w:rsidP="001B57DA">
      <w:pPr>
        <w:numPr>
          <w:ilvl w:val="0"/>
          <w:numId w:val="35"/>
        </w:numPr>
        <w:jc w:val="both"/>
        <w:rPr>
          <w:lang w:val="ru-RU"/>
        </w:rPr>
      </w:pPr>
      <w:r>
        <w:rPr>
          <w:lang w:val="ru-RU"/>
        </w:rPr>
        <w:t>уводи се анализа</w:t>
      </w:r>
      <w:r w:rsidRPr="00952D90">
        <w:rPr>
          <w:lang w:val="ru-RU"/>
        </w:rPr>
        <w:t xml:space="preserve"> о потребним медијским садржајима, полазећи од јавног интереса у о</w:t>
      </w:r>
      <w:r>
        <w:rPr>
          <w:lang w:val="ru-RU"/>
        </w:rPr>
        <w:t>бласти јавног информисања</w:t>
      </w:r>
      <w:r w:rsidRPr="00952D90">
        <w:rPr>
          <w:lang w:val="ru-RU"/>
        </w:rPr>
        <w:t>.</w:t>
      </w:r>
    </w:p>
    <w:p w:rsidR="001B57DA" w:rsidRPr="00CB12C4" w:rsidRDefault="001B57DA" w:rsidP="001B57DA">
      <w:pPr>
        <w:ind w:firstLine="720"/>
        <w:jc w:val="both"/>
        <w:rPr>
          <w:lang w:val="ru-RU"/>
        </w:rPr>
      </w:pPr>
    </w:p>
    <w:p w:rsidR="001B57DA" w:rsidRPr="00CB12C4" w:rsidRDefault="001B57DA" w:rsidP="001B57DA">
      <w:pPr>
        <w:ind w:firstLine="720"/>
        <w:jc w:val="both"/>
        <w:rPr>
          <w:lang w:val="ru-RU"/>
        </w:rPr>
      </w:pPr>
      <w:r w:rsidRPr="00CB12C4">
        <w:rPr>
          <w:lang w:val="ru-RU"/>
        </w:rPr>
        <w:t>Предложена законска решења ће утицати на следеће субјекте:</w:t>
      </w:r>
    </w:p>
    <w:p w:rsidR="001B57DA" w:rsidRPr="00CB12C4" w:rsidRDefault="001B57DA" w:rsidP="001B57DA">
      <w:pPr>
        <w:ind w:firstLine="720"/>
        <w:jc w:val="both"/>
        <w:rPr>
          <w:sz w:val="16"/>
          <w:szCs w:val="16"/>
          <w:lang w:val="ru-RU"/>
        </w:rPr>
      </w:pPr>
    </w:p>
    <w:p w:rsidR="001B57DA" w:rsidRPr="00CB12C4" w:rsidRDefault="001B57DA" w:rsidP="001B57DA">
      <w:pPr>
        <w:numPr>
          <w:ilvl w:val="0"/>
          <w:numId w:val="9"/>
        </w:numPr>
        <w:jc w:val="both"/>
        <w:rPr>
          <w:lang w:val="ru-RU"/>
        </w:rPr>
      </w:pPr>
      <w:r w:rsidRPr="00CB12C4">
        <w:rPr>
          <w:lang w:val="ru-RU"/>
        </w:rPr>
        <w:t>новинаре и друге медијске реднике;</w:t>
      </w:r>
    </w:p>
    <w:p w:rsidR="001B57DA" w:rsidRPr="00CB12C4" w:rsidRDefault="001B57DA" w:rsidP="001B57DA">
      <w:pPr>
        <w:numPr>
          <w:ilvl w:val="0"/>
          <w:numId w:val="9"/>
        </w:numPr>
        <w:jc w:val="both"/>
        <w:rPr>
          <w:lang w:val="ru-RU"/>
        </w:rPr>
      </w:pPr>
      <w:r w:rsidRPr="00CB12C4">
        <w:rPr>
          <w:lang w:val="ru-RU"/>
        </w:rPr>
        <w:t>грађане;</w:t>
      </w:r>
    </w:p>
    <w:p w:rsidR="001B57DA" w:rsidRPr="00CB12C4" w:rsidRDefault="001B57DA" w:rsidP="001B57DA">
      <w:pPr>
        <w:numPr>
          <w:ilvl w:val="0"/>
          <w:numId w:val="9"/>
        </w:numPr>
        <w:jc w:val="both"/>
        <w:rPr>
          <w:lang w:val="ru-RU"/>
        </w:rPr>
      </w:pPr>
      <w:r>
        <w:rPr>
          <w:lang w:val="ru-RU"/>
        </w:rPr>
        <w:t>медије/</w:t>
      </w:r>
      <w:r w:rsidRPr="00CB12C4">
        <w:rPr>
          <w:lang w:val="ru-RU"/>
        </w:rPr>
        <w:t>установе јавних медијских сервиса и организације приватних медијских сервиса;</w:t>
      </w:r>
    </w:p>
    <w:p w:rsidR="001B57DA" w:rsidRPr="00CB12C4" w:rsidRDefault="001B57DA" w:rsidP="001B57DA">
      <w:pPr>
        <w:numPr>
          <w:ilvl w:val="0"/>
          <w:numId w:val="9"/>
        </w:numPr>
        <w:jc w:val="both"/>
        <w:rPr>
          <w:lang w:val="ru-RU"/>
        </w:rPr>
      </w:pPr>
      <w:r w:rsidRPr="00CB12C4">
        <w:rPr>
          <w:lang w:val="ru-RU"/>
        </w:rPr>
        <w:t>удружења медија и удружења новинара;</w:t>
      </w:r>
    </w:p>
    <w:p w:rsidR="001B57DA" w:rsidRPr="00CB12C4" w:rsidRDefault="001B57DA" w:rsidP="001B57DA">
      <w:pPr>
        <w:numPr>
          <w:ilvl w:val="0"/>
          <w:numId w:val="9"/>
        </w:numPr>
        <w:jc w:val="both"/>
        <w:rPr>
          <w:lang w:val="ru-RU"/>
        </w:rPr>
      </w:pPr>
      <w:r>
        <w:rPr>
          <w:lang w:val="ru-RU"/>
        </w:rPr>
        <w:t>Министарство</w:t>
      </w:r>
      <w:r w:rsidRPr="00CB12C4">
        <w:rPr>
          <w:lang w:val="ru-RU"/>
        </w:rPr>
        <w:t xml:space="preserve"> информисања</w:t>
      </w:r>
      <w:r>
        <w:rPr>
          <w:lang w:val="ru-RU"/>
        </w:rPr>
        <w:t xml:space="preserve"> и телекомуникација</w:t>
      </w:r>
      <w:r w:rsidRPr="00CB12C4">
        <w:rPr>
          <w:lang w:val="ru-RU"/>
        </w:rPr>
        <w:t>;</w:t>
      </w:r>
    </w:p>
    <w:p w:rsidR="001B57DA" w:rsidRPr="00CB12C4" w:rsidRDefault="001B57DA" w:rsidP="001B57DA">
      <w:pPr>
        <w:numPr>
          <w:ilvl w:val="0"/>
          <w:numId w:val="9"/>
        </w:numPr>
        <w:jc w:val="both"/>
        <w:rPr>
          <w:lang w:val="ru-RU"/>
        </w:rPr>
      </w:pPr>
      <w:r w:rsidRPr="00CB12C4">
        <w:rPr>
          <w:lang w:val="ru-RU"/>
        </w:rPr>
        <w:t>Министарство привреде;</w:t>
      </w:r>
    </w:p>
    <w:p w:rsidR="001B57DA" w:rsidRPr="00CB12C4" w:rsidRDefault="001B57DA" w:rsidP="001B57DA">
      <w:pPr>
        <w:numPr>
          <w:ilvl w:val="0"/>
          <w:numId w:val="9"/>
        </w:numPr>
        <w:jc w:val="both"/>
        <w:rPr>
          <w:lang w:val="ru-RU"/>
        </w:rPr>
      </w:pPr>
      <w:r w:rsidRPr="00CB12C4">
        <w:rPr>
          <w:lang w:val="ru-RU"/>
        </w:rPr>
        <w:t>Канцеларију за информационе технологије и електронску управу;</w:t>
      </w:r>
    </w:p>
    <w:p w:rsidR="001B57DA" w:rsidRPr="00CB12C4" w:rsidRDefault="001B57DA" w:rsidP="001B57DA">
      <w:pPr>
        <w:numPr>
          <w:ilvl w:val="0"/>
          <w:numId w:val="9"/>
        </w:numPr>
        <w:jc w:val="both"/>
        <w:rPr>
          <w:lang w:val="ru-RU"/>
        </w:rPr>
      </w:pPr>
      <w:r w:rsidRPr="00CB12C4">
        <w:rPr>
          <w:lang w:val="ru-RU"/>
        </w:rPr>
        <w:t>судство и правосудне професије.</w:t>
      </w:r>
    </w:p>
    <w:p w:rsidR="001B57DA" w:rsidRPr="00CB12C4" w:rsidRDefault="001B57DA" w:rsidP="001B57DA">
      <w:pPr>
        <w:jc w:val="both"/>
        <w:rPr>
          <w:sz w:val="22"/>
          <w:szCs w:val="22"/>
          <w:lang w:val="ru-RU"/>
        </w:rPr>
      </w:pPr>
    </w:p>
    <w:p w:rsidR="001B57DA" w:rsidRPr="00CB12C4" w:rsidRDefault="001B57DA" w:rsidP="001B57DA">
      <w:pPr>
        <w:ind w:firstLine="720"/>
        <w:jc w:val="both"/>
      </w:pPr>
      <w:r w:rsidRPr="00CB12C4">
        <w:rPr>
          <w:color w:val="000000"/>
        </w:rPr>
        <w:t>Новинари и медијски радници у Републици Србији раде у тешким условима, често без адекватног уговора о раду. Општи тренд је смањивање броја запослених и удела запослених на неодређено време, док, са друге стране, расте ангажовање по основу уговора о привременим и повременим пословима, ауторским уговорима и уговорима о делу.</w:t>
      </w:r>
    </w:p>
    <w:p w:rsidR="001B57DA" w:rsidRPr="00CB12C4" w:rsidRDefault="001B57DA" w:rsidP="001B57DA">
      <w:pPr>
        <w:ind w:firstLine="720"/>
        <w:jc w:val="both"/>
      </w:pPr>
      <w:r w:rsidRPr="00CB12C4">
        <w:rPr>
          <w:color w:val="000000"/>
        </w:rPr>
        <w:t>Истраживања показују да је петина новинара у статусу фриленсера (изван радног односа), половина ради на несигурним пословима, док стабилан радни однос у највећој мери имају старији медијски радници (између 50 и 60 година).</w:t>
      </w:r>
      <w:r w:rsidRPr="00CB12C4">
        <w:rPr>
          <w:color w:val="000000"/>
          <w:vertAlign w:val="superscript"/>
        </w:rPr>
        <w:t>1</w:t>
      </w:r>
      <w:r w:rsidRPr="00CB12C4">
        <w:rPr>
          <w:color w:val="000000"/>
        </w:rPr>
        <w:t xml:space="preserve"> Само 27% младих новинара има радни однос на неодређено време. У најтежој позицији су новинари у онлајн медијима, где је мање од трећине стално запослено</w:t>
      </w:r>
    </w:p>
    <w:p w:rsidR="001B57DA" w:rsidRPr="00CB12C4" w:rsidRDefault="001B57DA" w:rsidP="001B57DA">
      <w:pPr>
        <w:ind w:firstLine="720"/>
        <w:jc w:val="both"/>
      </w:pPr>
      <w:r w:rsidRPr="00CB12C4">
        <w:rPr>
          <w:color w:val="000000"/>
        </w:rPr>
        <w:t>Плате новинара су ниске, чак и испод републичког просека, исплате су често нередовне, док велики број новинара ради прековремено. Све то утиче на деградацију професије, а новинаре и медијске раднике ставља у прекарни положај, због чега велики број њих жели да напусти професију</w:t>
      </w:r>
    </w:p>
    <w:p w:rsidR="001B57DA" w:rsidRPr="00CB12C4" w:rsidRDefault="001B57DA" w:rsidP="001B57DA">
      <w:pPr>
        <w:ind w:firstLine="720"/>
        <w:jc w:val="both"/>
        <w:rPr>
          <w:lang w:val="sr-Latn-RS"/>
        </w:rPr>
      </w:pPr>
      <w:r w:rsidRPr="00CB12C4">
        <w:rPr>
          <w:color w:val="000000"/>
        </w:rPr>
        <w:t xml:space="preserve">Мешавина ниских примања која се исплаћују касно, недовољна сигурност посла, рад без уговора или са лако раскидивим уговором представља облик притиска који подстиче ширење аутоцензуре, отежава независност, квалитетно новинарство и фаворизује тзв. </w:t>
      </w:r>
      <w:proofErr w:type="gramStart"/>
      <w:r w:rsidRPr="00CB12C4">
        <w:rPr>
          <w:color w:val="000000"/>
        </w:rPr>
        <w:t>таблоидизацију</w:t>
      </w:r>
      <w:proofErr w:type="gramEnd"/>
      <w:r w:rsidRPr="00CB12C4">
        <w:rPr>
          <w:color w:val="000000"/>
          <w:lang w:val="sr-Cyrl-RS"/>
        </w:rPr>
        <w:t xml:space="preserve"> новинарства.</w:t>
      </w:r>
    </w:p>
    <w:p w:rsidR="001B57DA" w:rsidRPr="00CB12C4" w:rsidRDefault="001B57DA" w:rsidP="001B57DA">
      <w:pPr>
        <w:ind w:firstLine="720"/>
        <w:jc w:val="both"/>
      </w:pPr>
      <w:r w:rsidRPr="00CB12C4">
        <w:rPr>
          <w:color w:val="000000"/>
        </w:rPr>
        <w:t>Решење је у успостављању социјалног дијалога и потписивању гранског колективног уговора, али је то у садашњим условима неостварљиво, јер су синдикати слаби, а организација послодаваца није формирана. Додатни проблем представља непостојање базе података о броју новинара и медијских радника.</w:t>
      </w:r>
    </w:p>
    <w:p w:rsidR="001B57DA" w:rsidRPr="00CB12C4" w:rsidRDefault="001B57DA" w:rsidP="001B57DA">
      <w:pPr>
        <w:ind w:firstLine="720"/>
        <w:jc w:val="both"/>
      </w:pPr>
      <w:r w:rsidRPr="00CB12C4">
        <w:rPr>
          <w:color w:val="000000"/>
        </w:rPr>
        <w:t>Када је у питању слобода изражавања и безбедност новинара, у извештају Европске комисије из 2018. године оцењује се да случајеви претњи, застрашивања и насиља над новинарима и даље забрињавају, док су истраге и правноснажне пресуде и даље ретке, као и да „српски органи власти морају неодложно да реагују и јавно осуде говор мржње и претње новинарима”.</w:t>
      </w:r>
      <w:r w:rsidRPr="00CB12C4">
        <w:rPr>
          <w:color w:val="000000"/>
          <w:vertAlign w:val="superscript"/>
        </w:rPr>
        <w:t>6</w:t>
      </w:r>
      <w:r w:rsidRPr="00CB12C4">
        <w:rPr>
          <w:color w:val="000000"/>
        </w:rPr>
        <w:t xml:space="preserve"> Напредак се бележи само у делокругу Комисије за разматрање чињеница добијених током истраге убиства новинара у комплетирању истраге у једном од три случаја убиства новинара. Као позитиван помак се посматра и Споразум о сарадњи и мерама за подизање нивоа безбедности новинара који је потписан између новинарских организација, Републичког јавног тужилаштва и </w:t>
      </w:r>
      <w:r w:rsidRPr="00CB12C4">
        <w:rPr>
          <w:color w:val="000000"/>
        </w:rPr>
        <w:lastRenderedPageBreak/>
        <w:t>Министарства унутрашњих послова са циљем обезбеђивања веће сигурности новинара у вези са пословима које обављају, али уз констатацију да би он „тек требало да доведе до ефикаснијег правног поступања у предметима и да осигура приступ правди”. Препоруке Европске комисије указују да је потребно брзо реаговање, јавна осуда говора мржње и напада на новинаре, као и покретање иницијативе за измену закона ради јасног класификовања кривичних дела и прекршаја на штету новинара и медијских радника.</w:t>
      </w:r>
    </w:p>
    <w:p w:rsidR="001B57DA" w:rsidRPr="00CB12C4" w:rsidRDefault="001B57DA" w:rsidP="001B57DA">
      <w:pPr>
        <w:ind w:firstLine="720"/>
        <w:jc w:val="both"/>
      </w:pPr>
      <w:r w:rsidRPr="00CB12C4">
        <w:rPr>
          <w:color w:val="000000"/>
        </w:rPr>
        <w:t>Од потписивања напред наведеног споразума одржан</w:t>
      </w:r>
      <w:r w:rsidRPr="00CB12C4">
        <w:rPr>
          <w:color w:val="000000"/>
          <w:lang w:val="sr-Cyrl-RS"/>
        </w:rPr>
        <w:t>и су</w:t>
      </w:r>
      <w:r w:rsidRPr="00CB12C4">
        <w:rPr>
          <w:color w:val="000000"/>
        </w:rPr>
        <w:t xml:space="preserve"> састан</w:t>
      </w:r>
      <w:r w:rsidRPr="00CB12C4">
        <w:rPr>
          <w:color w:val="000000"/>
          <w:lang w:val="sr-Cyrl-RS"/>
        </w:rPr>
        <w:t>ци</w:t>
      </w:r>
      <w:r w:rsidRPr="00CB12C4">
        <w:rPr>
          <w:color w:val="000000"/>
        </w:rPr>
        <w:t xml:space="preserve"> Сталне радне групе за безбедност новинара на којима се разматра поступање у предметима и друга питања од значаја за даљи рад Сталне радне групе. </w:t>
      </w:r>
      <w:r w:rsidRPr="00CB12C4">
        <w:rPr>
          <w:color w:val="000000"/>
          <w:lang w:val="sr-Cyrl-RS"/>
        </w:rPr>
        <w:t>У</w:t>
      </w:r>
      <w:r w:rsidRPr="00CB12C4">
        <w:rPr>
          <w:color w:val="000000"/>
        </w:rPr>
        <w:t>спостављен је механизам сарадње, тако што су споразумне стране одредиле лица за контакт и координацију поступања у случајевима извршења кривичних дела којима новинари могу бити изложени и која ће бити у сталном контакту, усвојен је Правилник о раду Сталне радне групе, као и Акциони план о раду Сталне радне групе. У сарадњи са Мисијом ОЕБС у Републици Србији отпочело је одржавање обуке новинара и других представника медија, јавних тужилаца и полицијских службеника. Такође, организовани су и састанци лица за контакт и координацију, ради унапређења постојећег механизма сарадње.</w:t>
      </w:r>
    </w:p>
    <w:p w:rsidR="001B57DA" w:rsidRPr="00CB12C4" w:rsidRDefault="001B57DA" w:rsidP="001B57DA">
      <w:pPr>
        <w:ind w:firstLine="720"/>
        <w:jc w:val="both"/>
      </w:pPr>
      <w:r w:rsidRPr="00CB12C4">
        <w:rPr>
          <w:color w:val="000000"/>
        </w:rPr>
        <w:t xml:space="preserve">Упутством Републичког јавног тужиоца издатим 22. </w:t>
      </w:r>
      <w:proofErr w:type="gramStart"/>
      <w:r w:rsidRPr="00CB12C4">
        <w:rPr>
          <w:color w:val="000000"/>
        </w:rPr>
        <w:t>децембра</w:t>
      </w:r>
      <w:proofErr w:type="gramEnd"/>
      <w:r w:rsidRPr="00CB12C4">
        <w:rPr>
          <w:color w:val="000000"/>
        </w:rPr>
        <w:t xml:space="preserve"> 2015. </w:t>
      </w:r>
      <w:proofErr w:type="gramStart"/>
      <w:r w:rsidRPr="00CB12C4">
        <w:rPr>
          <w:color w:val="000000"/>
        </w:rPr>
        <w:t>године</w:t>
      </w:r>
      <w:proofErr w:type="gramEnd"/>
      <w:r w:rsidRPr="00CB12C4">
        <w:rPr>
          <w:color w:val="000000"/>
        </w:rPr>
        <w:t xml:space="preserve">, у свим основним, вишим и апелационим јавним тужилаштвима успостављене су евиденције кривичних дела учињених на штету лица која обављају послове од јавног значаја у области информисања, у вези са пословима које обављају и напада на интернет странице медија, почев од 1. </w:t>
      </w:r>
      <w:proofErr w:type="gramStart"/>
      <w:r w:rsidRPr="00CB12C4">
        <w:rPr>
          <w:color w:val="000000"/>
        </w:rPr>
        <w:t>јануара</w:t>
      </w:r>
      <w:proofErr w:type="gramEnd"/>
      <w:r w:rsidRPr="00CB12C4">
        <w:rPr>
          <w:color w:val="000000"/>
        </w:rPr>
        <w:t xml:space="preserve"> 2016. </w:t>
      </w:r>
      <w:proofErr w:type="gramStart"/>
      <w:r w:rsidRPr="00CB12C4">
        <w:rPr>
          <w:color w:val="000000"/>
        </w:rPr>
        <w:t>године</w:t>
      </w:r>
      <w:proofErr w:type="gramEnd"/>
      <w:r w:rsidRPr="00CB12C4">
        <w:rPr>
          <w:color w:val="000000"/>
        </w:rPr>
        <w:t>. Истим упутством одређено је хитно поступање у наведеним предметима.</w:t>
      </w:r>
    </w:p>
    <w:p w:rsidR="001B57DA" w:rsidRPr="00CB12C4" w:rsidRDefault="001B57DA" w:rsidP="001B57DA">
      <w:pPr>
        <w:ind w:firstLine="720"/>
        <w:jc w:val="both"/>
      </w:pPr>
      <w:r w:rsidRPr="00CB12C4">
        <w:rPr>
          <w:color w:val="000000"/>
        </w:rPr>
        <w:t xml:space="preserve">У периоду од 1. </w:t>
      </w:r>
      <w:proofErr w:type="gramStart"/>
      <w:r w:rsidRPr="00CB12C4">
        <w:rPr>
          <w:color w:val="000000"/>
        </w:rPr>
        <w:t>јанура</w:t>
      </w:r>
      <w:proofErr w:type="gramEnd"/>
      <w:r w:rsidRPr="00CB12C4">
        <w:rPr>
          <w:color w:val="000000"/>
        </w:rPr>
        <w:t xml:space="preserve"> 2016. </w:t>
      </w:r>
      <w:proofErr w:type="gramStart"/>
      <w:r w:rsidRPr="00CB12C4">
        <w:rPr>
          <w:color w:val="000000"/>
        </w:rPr>
        <w:t>до</w:t>
      </w:r>
      <w:proofErr w:type="gramEnd"/>
      <w:r w:rsidRPr="00CB12C4">
        <w:rPr>
          <w:color w:val="000000"/>
        </w:rPr>
        <w:t xml:space="preserve"> 30. </w:t>
      </w:r>
      <w:proofErr w:type="gramStart"/>
      <w:r w:rsidRPr="00CB12C4">
        <w:rPr>
          <w:color w:val="000000"/>
        </w:rPr>
        <w:t>септембра</w:t>
      </w:r>
      <w:proofErr w:type="gramEnd"/>
      <w:r w:rsidRPr="00CB12C4">
        <w:rPr>
          <w:color w:val="000000"/>
        </w:rPr>
        <w:t xml:space="preserve"> 2019. </w:t>
      </w:r>
      <w:proofErr w:type="gramStart"/>
      <w:r w:rsidRPr="00CB12C4">
        <w:rPr>
          <w:color w:val="000000"/>
        </w:rPr>
        <w:t>године</w:t>
      </w:r>
      <w:proofErr w:type="gramEnd"/>
      <w:r w:rsidRPr="00CB12C4">
        <w:rPr>
          <w:color w:val="000000"/>
        </w:rPr>
        <w:t xml:space="preserve"> јавним тужилаштвима поднете су кривичне пријаве/извештаји о 194 догађаја (формирана су 194 предмета) извршених на штету новинара. У наведеним предметима, закључно са 30. </w:t>
      </w:r>
      <w:proofErr w:type="gramStart"/>
      <w:r w:rsidRPr="00CB12C4">
        <w:rPr>
          <w:color w:val="000000"/>
        </w:rPr>
        <w:t>септембра</w:t>
      </w:r>
      <w:proofErr w:type="gramEnd"/>
      <w:r w:rsidRPr="00CB12C4">
        <w:rPr>
          <w:color w:val="000000"/>
        </w:rPr>
        <w:t xml:space="preserve"> 2019. </w:t>
      </w:r>
      <w:proofErr w:type="gramStart"/>
      <w:r w:rsidRPr="00CB12C4">
        <w:rPr>
          <w:color w:val="000000"/>
        </w:rPr>
        <w:t>године</w:t>
      </w:r>
      <w:proofErr w:type="gramEnd"/>
      <w:r w:rsidRPr="00CB12C4">
        <w:rPr>
          <w:color w:val="000000"/>
        </w:rPr>
        <w:t>, предузете су следеће радње:</w:t>
      </w:r>
    </w:p>
    <w:p w:rsidR="001B57DA" w:rsidRPr="00CB12C4" w:rsidRDefault="001B57DA" w:rsidP="001B57DA">
      <w:pPr>
        <w:ind w:firstLine="720"/>
        <w:jc w:val="both"/>
      </w:pPr>
      <w:r w:rsidRPr="00CB12C4">
        <w:rPr>
          <w:color w:val="000000"/>
        </w:rPr>
        <w:t>Коначна одлука донета је у 104 предмета (53</w:t>
      </w:r>
      <w:proofErr w:type="gramStart"/>
      <w:r w:rsidRPr="00CB12C4">
        <w:rPr>
          <w:color w:val="000000"/>
        </w:rPr>
        <w:t>,61</w:t>
      </w:r>
      <w:proofErr w:type="gramEnd"/>
      <w:r w:rsidRPr="00CB12C4">
        <w:rPr>
          <w:color w:val="000000"/>
        </w:rPr>
        <w:t>% укупног броја предмета), и то:</w:t>
      </w:r>
    </w:p>
    <w:p w:rsidR="001B57DA" w:rsidRPr="00CB12C4" w:rsidRDefault="001B57DA" w:rsidP="001B57DA">
      <w:pPr>
        <w:numPr>
          <w:ilvl w:val="0"/>
          <w:numId w:val="44"/>
        </w:numPr>
        <w:jc w:val="both"/>
      </w:pPr>
      <w:r w:rsidRPr="00CB12C4">
        <w:rPr>
          <w:color w:val="000000"/>
        </w:rPr>
        <w:t>у 23 предмета извршилац је санкционисан одлуком суда или наметањем обавезе, у складу са институтом предвиђеним Закоником о кривичном поступку, о примени одложеног кривичног гоњења (опортунитет), од чега је у 13 предмета донета осуђујућа пресуда, а у десет предмета примењен опортунитет;</w:t>
      </w:r>
    </w:p>
    <w:p w:rsidR="001B57DA" w:rsidRPr="00CB12C4" w:rsidRDefault="001B57DA" w:rsidP="001B57DA">
      <w:pPr>
        <w:numPr>
          <w:ilvl w:val="0"/>
          <w:numId w:val="44"/>
        </w:numPr>
        <w:jc w:val="both"/>
      </w:pPr>
      <w:r w:rsidRPr="00CB12C4">
        <w:rPr>
          <w:color w:val="000000"/>
        </w:rPr>
        <w:t>78 предмета окончано је одлуком јавног тужилаштва – донето је решење о одбацивању кривичне пријаве или службена белешка да нема места покретању кривичног поступка;</w:t>
      </w:r>
    </w:p>
    <w:p w:rsidR="001B57DA" w:rsidRPr="00CB12C4" w:rsidRDefault="001B57DA" w:rsidP="001B57DA">
      <w:pPr>
        <w:numPr>
          <w:ilvl w:val="0"/>
          <w:numId w:val="44"/>
        </w:numPr>
        <w:jc w:val="both"/>
      </w:pPr>
      <w:r w:rsidRPr="00CB12C4">
        <w:rPr>
          <w:color w:val="000000"/>
        </w:rPr>
        <w:t>у једном предмету суд је донео решење којим се одбацује оптужни акт због душевне болести окривљеног;</w:t>
      </w:r>
    </w:p>
    <w:p w:rsidR="001B57DA" w:rsidRPr="00CB12C4" w:rsidRDefault="001B57DA" w:rsidP="001B57DA">
      <w:pPr>
        <w:numPr>
          <w:ilvl w:val="0"/>
          <w:numId w:val="44"/>
        </w:numPr>
        <w:jc w:val="both"/>
      </w:pPr>
      <w:r w:rsidRPr="00CB12C4">
        <w:rPr>
          <w:color w:val="000000"/>
        </w:rPr>
        <w:t>у једном предмету решењем суда одбијен је оптужни акт тужилаштва;</w:t>
      </w:r>
    </w:p>
    <w:p w:rsidR="001B57DA" w:rsidRPr="00CB12C4" w:rsidRDefault="001B57DA" w:rsidP="001B57DA">
      <w:pPr>
        <w:numPr>
          <w:ilvl w:val="0"/>
          <w:numId w:val="44"/>
        </w:numPr>
        <w:jc w:val="both"/>
      </w:pPr>
      <w:proofErr w:type="gramStart"/>
      <w:r w:rsidRPr="00CB12C4">
        <w:rPr>
          <w:color w:val="000000"/>
        </w:rPr>
        <w:t>у</w:t>
      </w:r>
      <w:proofErr w:type="gramEnd"/>
      <w:r w:rsidRPr="00CB12C4">
        <w:rPr>
          <w:color w:val="000000"/>
        </w:rPr>
        <w:t xml:space="preserve"> једном предмету, у поступку међународне правне помоћи у кривичним стварима, уступљено је кривично гоњење надлежним органима друге државе.</w:t>
      </w:r>
    </w:p>
    <w:p w:rsidR="001B57DA" w:rsidRPr="00CB12C4" w:rsidRDefault="001B57DA" w:rsidP="001B57DA">
      <w:pPr>
        <w:numPr>
          <w:ilvl w:val="0"/>
          <w:numId w:val="44"/>
        </w:numPr>
        <w:jc w:val="both"/>
      </w:pPr>
      <w:r w:rsidRPr="00CB12C4">
        <w:rPr>
          <w:color w:val="000000"/>
        </w:rPr>
        <w:t>У погледу предмета у којима је поступак још увек у току:</w:t>
      </w:r>
    </w:p>
    <w:p w:rsidR="001B57DA" w:rsidRPr="00CB12C4" w:rsidRDefault="001B57DA" w:rsidP="001B57DA">
      <w:pPr>
        <w:numPr>
          <w:ilvl w:val="0"/>
          <w:numId w:val="44"/>
        </w:numPr>
        <w:jc w:val="both"/>
      </w:pPr>
      <w:r w:rsidRPr="00CB12C4">
        <w:rPr>
          <w:color w:val="000000"/>
        </w:rPr>
        <w:t>у једном предмету против једног лица донета је осуђујућа пресуда на основу споразума о признању кривичног дела, док је против 3 лица поднет оптужни акт;</w:t>
      </w:r>
    </w:p>
    <w:p w:rsidR="001B57DA" w:rsidRPr="00CB12C4" w:rsidRDefault="001B57DA" w:rsidP="001B57DA">
      <w:pPr>
        <w:numPr>
          <w:ilvl w:val="0"/>
          <w:numId w:val="44"/>
        </w:numPr>
        <w:jc w:val="both"/>
      </w:pPr>
      <w:r w:rsidRPr="00CB12C4">
        <w:rPr>
          <w:color w:val="000000"/>
        </w:rPr>
        <w:t>у једном предмету одлуком судa оптужени је ослобођен оптужбе, у току је поступак по жалби јавног тужиоца;</w:t>
      </w:r>
    </w:p>
    <w:p w:rsidR="001B57DA" w:rsidRPr="00CB12C4" w:rsidRDefault="001B57DA" w:rsidP="001B57DA">
      <w:pPr>
        <w:numPr>
          <w:ilvl w:val="0"/>
          <w:numId w:val="44"/>
        </w:numPr>
        <w:jc w:val="both"/>
      </w:pPr>
      <w:r w:rsidRPr="00CB12C4">
        <w:rPr>
          <w:color w:val="000000"/>
        </w:rPr>
        <w:lastRenderedPageBreak/>
        <w:t>у десет предмета у току је поступак пред судом по оптужном акту јавног тужиоца;</w:t>
      </w:r>
    </w:p>
    <w:p w:rsidR="001B57DA" w:rsidRPr="00CB12C4" w:rsidRDefault="001B57DA" w:rsidP="001B57DA">
      <w:pPr>
        <w:numPr>
          <w:ilvl w:val="0"/>
          <w:numId w:val="44"/>
        </w:numPr>
        <w:jc w:val="both"/>
      </w:pPr>
      <w:r w:rsidRPr="00CB12C4">
        <w:rPr>
          <w:color w:val="000000"/>
        </w:rPr>
        <w:t>у 54 предмета јавна тужилаштва предузимају мере у циљу утврђивања чињеничног стања у шта је укључено спровођење доказних радњи, прикупљање потребних обавештења, упућивање замолница за пружање међународне правне помоћи у кривичним стварима и разматрање чињеничног стања ради доношења одлуке о даљем току поступка;</w:t>
      </w:r>
    </w:p>
    <w:p w:rsidR="001B57DA" w:rsidRPr="00CB12C4" w:rsidRDefault="001B57DA" w:rsidP="001B57DA">
      <w:pPr>
        <w:numPr>
          <w:ilvl w:val="0"/>
          <w:numId w:val="44"/>
        </w:numPr>
        <w:jc w:val="both"/>
      </w:pPr>
      <w:r w:rsidRPr="00CB12C4">
        <w:rPr>
          <w:color w:val="000000"/>
        </w:rPr>
        <w:t>23 предмета заведена су у евиденцију непознатих починилаца;</w:t>
      </w:r>
    </w:p>
    <w:p w:rsidR="001B57DA" w:rsidRPr="00CB12C4" w:rsidRDefault="001B57DA" w:rsidP="001B57DA">
      <w:pPr>
        <w:numPr>
          <w:ilvl w:val="0"/>
          <w:numId w:val="44"/>
        </w:numPr>
        <w:jc w:val="both"/>
      </w:pPr>
      <w:proofErr w:type="gramStart"/>
      <w:r w:rsidRPr="00CB12C4">
        <w:rPr>
          <w:color w:val="000000"/>
        </w:rPr>
        <w:t>у</w:t>
      </w:r>
      <w:proofErr w:type="gramEnd"/>
      <w:r w:rsidRPr="00CB12C4">
        <w:rPr>
          <w:color w:val="000000"/>
        </w:rPr>
        <w:t xml:space="preserve"> једном предмету је донето решење о одбацивању кривичне пријаве, у току је поступак по приговору оштећеног.</w:t>
      </w:r>
    </w:p>
    <w:p w:rsidR="001B57DA" w:rsidRPr="00CB12C4" w:rsidRDefault="001B57DA" w:rsidP="001B57DA">
      <w:pPr>
        <w:ind w:firstLine="630"/>
        <w:jc w:val="both"/>
      </w:pPr>
      <w:r w:rsidRPr="00CB12C4">
        <w:rPr>
          <w:color w:val="000000"/>
        </w:rPr>
        <w:t>Републичко јавно тужилаштво на кварталном нивоу доставља Билтен – обавештење о поступању јавних тужилаштава у вези са кривичним делима извршеним на штету новинара свим члановима Сталне радне групе.</w:t>
      </w:r>
    </w:p>
    <w:p w:rsidR="001B57DA" w:rsidRPr="00CB12C4" w:rsidRDefault="001B57DA" w:rsidP="001B57DA">
      <w:pPr>
        <w:ind w:firstLine="630"/>
        <w:jc w:val="both"/>
      </w:pPr>
      <w:r w:rsidRPr="00CB12C4">
        <w:rPr>
          <w:color w:val="000000"/>
        </w:rPr>
        <w:t xml:space="preserve">У 2018. </w:t>
      </w:r>
      <w:proofErr w:type="gramStart"/>
      <w:r w:rsidRPr="00CB12C4">
        <w:rPr>
          <w:color w:val="000000"/>
        </w:rPr>
        <w:t>години</w:t>
      </w:r>
      <w:proofErr w:type="gramEnd"/>
      <w:r w:rsidRPr="00CB12C4">
        <w:rPr>
          <w:color w:val="000000"/>
        </w:rPr>
        <w:t xml:space="preserve"> Удружење новинара Србије (УНС) забележило је 46 инцидената (од тога вербална претња: пет, вређање: три, претње на друштвеним мрежама: три, обарање сајта/хаковање профила: три, привођење: два, физички напад: шест, отказ: један, притисак тужбом: два, пореска управа: један, онемогућавање рада: десет, друге врсте притисака: девет). Евиденција НУНС-а</w:t>
      </w:r>
      <w:r w:rsidRPr="00CB12C4">
        <w:rPr>
          <w:color w:val="000000"/>
          <w:lang w:val="sr-Cyrl-RS"/>
        </w:rPr>
        <w:t xml:space="preserve"> </w:t>
      </w:r>
      <w:r w:rsidRPr="00CB12C4">
        <w:rPr>
          <w:color w:val="000000"/>
        </w:rPr>
        <w:t xml:space="preserve">показује да је у 2018. </w:t>
      </w:r>
      <w:proofErr w:type="gramStart"/>
      <w:r w:rsidRPr="00CB12C4">
        <w:rPr>
          <w:color w:val="000000"/>
        </w:rPr>
        <w:t>години</w:t>
      </w:r>
      <w:proofErr w:type="gramEnd"/>
      <w:r w:rsidRPr="00CB12C4">
        <w:rPr>
          <w:color w:val="000000"/>
        </w:rPr>
        <w:t xml:space="preserve"> било 86 инцидената (од тога физички напади: 6, притисак: 63, вербалне претње: 17). У односу на 2016. </w:t>
      </w:r>
      <w:proofErr w:type="gramStart"/>
      <w:r w:rsidRPr="00CB12C4">
        <w:rPr>
          <w:color w:val="000000"/>
        </w:rPr>
        <w:t>и</w:t>
      </w:r>
      <w:proofErr w:type="gramEnd"/>
      <w:r w:rsidRPr="00CB12C4">
        <w:rPr>
          <w:color w:val="000000"/>
        </w:rPr>
        <w:t xml:space="preserve"> 2017. </w:t>
      </w:r>
      <w:proofErr w:type="gramStart"/>
      <w:r w:rsidRPr="00CB12C4">
        <w:rPr>
          <w:color w:val="000000"/>
        </w:rPr>
        <w:t>годину</w:t>
      </w:r>
      <w:proofErr w:type="gramEnd"/>
      <w:r w:rsidRPr="00CB12C4">
        <w:rPr>
          <w:color w:val="000000"/>
        </w:rPr>
        <w:t xml:space="preserve"> бележи се пораст броја инцидената.</w:t>
      </w:r>
    </w:p>
    <w:p w:rsidR="001B57DA" w:rsidRPr="00CB12C4" w:rsidRDefault="001B57DA" w:rsidP="001B57DA">
      <w:pPr>
        <w:numPr>
          <w:ilvl w:val="1"/>
          <w:numId w:val="35"/>
        </w:numPr>
        <w:ind w:left="810"/>
        <w:jc w:val="both"/>
      </w:pPr>
      <w:r w:rsidRPr="00CB12C4">
        <w:rPr>
          <w:color w:val="000000"/>
        </w:rPr>
        <w:t xml:space="preserve">Према УНС-у у 2017. </w:t>
      </w:r>
      <w:proofErr w:type="gramStart"/>
      <w:r w:rsidRPr="00CB12C4">
        <w:rPr>
          <w:color w:val="000000"/>
        </w:rPr>
        <w:t>години</w:t>
      </w:r>
      <w:proofErr w:type="gramEnd"/>
      <w:r w:rsidRPr="00CB12C4">
        <w:rPr>
          <w:color w:val="000000"/>
        </w:rPr>
        <w:t xml:space="preserve"> је било укупно 63 инцидената, а у 2016. години 59;</w:t>
      </w:r>
    </w:p>
    <w:p w:rsidR="001B57DA" w:rsidRPr="00CB12C4" w:rsidRDefault="001B57DA" w:rsidP="001B57DA">
      <w:pPr>
        <w:numPr>
          <w:ilvl w:val="1"/>
          <w:numId w:val="35"/>
        </w:numPr>
        <w:ind w:left="810"/>
        <w:jc w:val="both"/>
      </w:pPr>
      <w:r w:rsidRPr="00CB12C4">
        <w:rPr>
          <w:color w:val="000000"/>
        </w:rPr>
        <w:t xml:space="preserve">Према НУНС-у у 2017. </w:t>
      </w:r>
      <w:proofErr w:type="gramStart"/>
      <w:r w:rsidRPr="00CB12C4">
        <w:rPr>
          <w:color w:val="000000"/>
        </w:rPr>
        <w:t>години</w:t>
      </w:r>
      <w:proofErr w:type="gramEnd"/>
      <w:r w:rsidRPr="00CB12C4">
        <w:rPr>
          <w:color w:val="000000"/>
        </w:rPr>
        <w:t xml:space="preserve"> је било укупно 92 инцидената,</w:t>
      </w:r>
      <w:r w:rsidRPr="00CB12C4">
        <w:rPr>
          <w:color w:val="000000"/>
          <w:vertAlign w:val="superscript"/>
        </w:rPr>
        <w:t xml:space="preserve"> </w:t>
      </w:r>
      <w:r w:rsidRPr="00CB12C4">
        <w:rPr>
          <w:color w:val="000000"/>
        </w:rPr>
        <w:t xml:space="preserve">у 2016. </w:t>
      </w:r>
      <w:proofErr w:type="gramStart"/>
      <w:r w:rsidRPr="00CB12C4">
        <w:rPr>
          <w:color w:val="000000"/>
        </w:rPr>
        <w:t>години</w:t>
      </w:r>
      <w:proofErr w:type="gramEnd"/>
      <w:r w:rsidRPr="00CB12C4">
        <w:rPr>
          <w:color w:val="000000"/>
        </w:rPr>
        <w:t xml:space="preserve"> 69.</w:t>
      </w:r>
    </w:p>
    <w:p w:rsidR="001B57DA" w:rsidRPr="00CB12C4" w:rsidRDefault="001B57DA" w:rsidP="001B57DA">
      <w:pPr>
        <w:ind w:firstLine="720"/>
        <w:jc w:val="both"/>
      </w:pPr>
      <w:r w:rsidRPr="00CB12C4">
        <w:rPr>
          <w:color w:val="000000"/>
        </w:rPr>
        <w:t xml:space="preserve">Не постоји свест о друштвеном значају новинарског позива и безбедносним ризицима којима се новинари излажу приликом обављања својих послова. Од потписивања Споразума о сарадњи и мерама за подизање нивоа безбедности новинара крајем 2016. </w:t>
      </w:r>
      <w:proofErr w:type="gramStart"/>
      <w:r w:rsidRPr="00CB12C4">
        <w:rPr>
          <w:color w:val="000000"/>
        </w:rPr>
        <w:t>године</w:t>
      </w:r>
      <w:proofErr w:type="gramEnd"/>
      <w:r w:rsidRPr="00CB12C4">
        <w:rPr>
          <w:color w:val="000000"/>
        </w:rPr>
        <w:t xml:space="preserve">, и кроз формирање Сталне радне групе за безбедност новинара, кроз различите активности даје </w:t>
      </w:r>
      <w:r w:rsidRPr="00CB12C4">
        <w:rPr>
          <w:color w:val="000000"/>
          <w:lang w:val="sr-Cyrl-RS"/>
        </w:rPr>
        <w:t xml:space="preserve">се </w:t>
      </w:r>
      <w:r w:rsidRPr="00CB12C4">
        <w:rPr>
          <w:color w:val="000000"/>
        </w:rPr>
        <w:t>више пажње безбедности новинара.</w:t>
      </w:r>
    </w:p>
    <w:p w:rsidR="001B57DA" w:rsidRPr="00CB12C4" w:rsidRDefault="001B57DA" w:rsidP="001B57DA">
      <w:pPr>
        <w:jc w:val="center"/>
        <w:rPr>
          <w:b/>
          <w:noProof/>
          <w:lang w:val="sr-Cyrl-RS"/>
        </w:rPr>
      </w:pPr>
    </w:p>
    <w:p w:rsidR="001B57DA" w:rsidRDefault="001B57DA" w:rsidP="001B57DA">
      <w:pPr>
        <w:jc w:val="center"/>
        <w:rPr>
          <w:b/>
          <w:noProof/>
          <w:lang w:val="sr-Cyrl-RS"/>
        </w:rPr>
      </w:pPr>
    </w:p>
    <w:p w:rsidR="001B57DA" w:rsidRDefault="001B57DA" w:rsidP="001B57DA">
      <w:pPr>
        <w:jc w:val="center"/>
        <w:rPr>
          <w:b/>
          <w:noProof/>
          <w:lang w:val="sr-Cyrl-RS"/>
        </w:rPr>
      </w:pPr>
    </w:p>
    <w:p w:rsidR="001B57DA" w:rsidRDefault="001B57DA" w:rsidP="001B57DA">
      <w:pPr>
        <w:jc w:val="center"/>
        <w:rPr>
          <w:b/>
          <w:noProof/>
          <w:lang w:val="sr-Cyrl-RS"/>
        </w:rPr>
      </w:pPr>
    </w:p>
    <w:p w:rsidR="001B57DA" w:rsidRDefault="001B57DA" w:rsidP="001B57DA">
      <w:pPr>
        <w:jc w:val="center"/>
        <w:rPr>
          <w:b/>
          <w:noProof/>
          <w:lang w:val="sr-Cyrl-RS"/>
        </w:rPr>
      </w:pPr>
    </w:p>
    <w:p w:rsidR="001B57DA" w:rsidRDefault="001B57DA" w:rsidP="001B57DA">
      <w:pPr>
        <w:jc w:val="center"/>
        <w:rPr>
          <w:b/>
          <w:noProof/>
          <w:lang w:val="sr-Cyrl-RS"/>
        </w:rPr>
      </w:pPr>
    </w:p>
    <w:p w:rsidR="001B57DA" w:rsidRDefault="001B57DA" w:rsidP="001B57DA">
      <w:pPr>
        <w:jc w:val="center"/>
        <w:rPr>
          <w:b/>
          <w:noProof/>
          <w:lang w:val="sr-Cyrl-RS"/>
        </w:rPr>
      </w:pPr>
    </w:p>
    <w:p w:rsidR="001B57DA" w:rsidRDefault="001B57DA" w:rsidP="001B57DA">
      <w:pPr>
        <w:jc w:val="center"/>
        <w:rPr>
          <w:b/>
          <w:noProof/>
          <w:lang w:val="sr-Cyrl-RS"/>
        </w:rPr>
      </w:pPr>
    </w:p>
    <w:p w:rsidR="001B57DA" w:rsidRDefault="001B57DA" w:rsidP="001B57DA">
      <w:pPr>
        <w:jc w:val="center"/>
        <w:rPr>
          <w:b/>
          <w:noProof/>
          <w:lang w:val="sr-Cyrl-RS"/>
        </w:rPr>
      </w:pPr>
    </w:p>
    <w:p w:rsidR="001B57DA" w:rsidRDefault="001B57DA" w:rsidP="001B57DA">
      <w:pPr>
        <w:jc w:val="center"/>
        <w:rPr>
          <w:b/>
          <w:noProof/>
          <w:lang w:val="sr-Cyrl-RS"/>
        </w:rPr>
      </w:pPr>
    </w:p>
    <w:p w:rsidR="001B57DA" w:rsidRDefault="001B57DA" w:rsidP="001B57DA">
      <w:pPr>
        <w:jc w:val="center"/>
        <w:rPr>
          <w:b/>
          <w:noProof/>
          <w:lang w:val="sr-Cyrl-RS"/>
        </w:rPr>
      </w:pPr>
    </w:p>
    <w:p w:rsidR="003B7BBF" w:rsidRDefault="003B7BBF" w:rsidP="001B57DA">
      <w:pPr>
        <w:jc w:val="center"/>
        <w:rPr>
          <w:b/>
          <w:noProof/>
          <w:lang w:val="sr-Cyrl-RS"/>
        </w:rPr>
      </w:pPr>
    </w:p>
    <w:p w:rsidR="003B7BBF" w:rsidRDefault="003B7BBF" w:rsidP="001B57DA">
      <w:pPr>
        <w:jc w:val="center"/>
        <w:rPr>
          <w:b/>
          <w:noProof/>
          <w:lang w:val="sr-Cyrl-RS"/>
        </w:rPr>
      </w:pPr>
    </w:p>
    <w:p w:rsidR="003B7BBF" w:rsidRDefault="003B7BBF" w:rsidP="001B57DA">
      <w:pPr>
        <w:jc w:val="center"/>
        <w:rPr>
          <w:b/>
          <w:noProof/>
          <w:lang w:val="sr-Cyrl-RS"/>
        </w:rPr>
      </w:pPr>
    </w:p>
    <w:p w:rsidR="003B7BBF" w:rsidRDefault="003B7BBF" w:rsidP="001B57DA">
      <w:pPr>
        <w:jc w:val="center"/>
        <w:rPr>
          <w:b/>
          <w:noProof/>
          <w:lang w:val="sr-Cyrl-RS"/>
        </w:rPr>
      </w:pPr>
    </w:p>
    <w:p w:rsidR="003B7BBF" w:rsidRDefault="003B7BBF" w:rsidP="001B57DA">
      <w:pPr>
        <w:jc w:val="center"/>
        <w:rPr>
          <w:b/>
          <w:noProof/>
          <w:lang w:val="sr-Cyrl-RS"/>
        </w:rPr>
      </w:pPr>
    </w:p>
    <w:p w:rsidR="003B7BBF" w:rsidRDefault="003B7BBF" w:rsidP="001B57DA">
      <w:pPr>
        <w:jc w:val="center"/>
        <w:rPr>
          <w:b/>
          <w:noProof/>
          <w:lang w:val="sr-Cyrl-RS"/>
        </w:rPr>
      </w:pPr>
    </w:p>
    <w:p w:rsidR="003B7BBF" w:rsidRDefault="003B7BBF" w:rsidP="001B57DA">
      <w:pPr>
        <w:jc w:val="center"/>
        <w:rPr>
          <w:b/>
          <w:noProof/>
          <w:lang w:val="sr-Cyrl-RS"/>
        </w:rPr>
      </w:pPr>
    </w:p>
    <w:p w:rsidR="001B57DA" w:rsidRDefault="001B57DA" w:rsidP="001B57DA">
      <w:pPr>
        <w:jc w:val="center"/>
        <w:rPr>
          <w:b/>
          <w:noProof/>
          <w:lang w:val="sr-Cyrl-RS"/>
        </w:rPr>
      </w:pPr>
    </w:p>
    <w:p w:rsidR="001B57DA" w:rsidRPr="00CB12C4" w:rsidRDefault="001B57DA" w:rsidP="001B57DA">
      <w:pPr>
        <w:jc w:val="center"/>
        <w:rPr>
          <w:b/>
          <w:noProof/>
          <w:lang w:val="sr-Cyrl-RS"/>
        </w:rPr>
      </w:pPr>
      <w:r>
        <w:rPr>
          <w:b/>
          <w:noProof/>
          <w:lang w:val="sr-Cyrl-RS"/>
        </w:rPr>
        <w:lastRenderedPageBreak/>
        <w:t>Табела 1 – Основна заштитa</w:t>
      </w:r>
    </w:p>
    <w:p w:rsidR="001B57DA" w:rsidRPr="00CB12C4" w:rsidRDefault="001B57DA" w:rsidP="001B57DA">
      <w:pPr>
        <w:jc w:val="center"/>
        <w:rPr>
          <w:noProof/>
        </w:rPr>
      </w:pPr>
      <w:r w:rsidRPr="00CB12C4">
        <w:rPr>
          <w:noProof/>
        </w:rPr>
        <w:drawing>
          <wp:inline distT="0" distB="0" distL="0" distR="0" wp14:anchorId="34D6BEF4" wp14:editId="2D68671D">
            <wp:extent cx="5303520" cy="28651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3520" cy="2865120"/>
                    </a:xfrm>
                    <a:prstGeom prst="rect">
                      <a:avLst/>
                    </a:prstGeom>
                    <a:noFill/>
                    <a:ln>
                      <a:noFill/>
                    </a:ln>
                  </pic:spPr>
                </pic:pic>
              </a:graphicData>
            </a:graphic>
          </wp:inline>
        </w:drawing>
      </w:r>
    </w:p>
    <w:p w:rsidR="001B57DA" w:rsidRPr="00CB12C4" w:rsidRDefault="001B57DA" w:rsidP="001B57DA">
      <w:pPr>
        <w:jc w:val="both"/>
        <w:rPr>
          <w:noProof/>
          <w:lang w:val="sr-Cyrl-RS"/>
        </w:rPr>
      </w:pPr>
      <w:r w:rsidRPr="00CB12C4">
        <w:rPr>
          <w:i/>
          <w:noProof/>
          <w:lang w:val="sr-Cyrl-RS"/>
        </w:rPr>
        <w:t>Извор:</w:t>
      </w:r>
      <w:r w:rsidRPr="00CB12C4">
        <w:rPr>
          <w:noProof/>
          <w:lang w:val="sr-Cyrl-RS"/>
        </w:rPr>
        <w:t xml:space="preserve"> Мониторинг медијског плурализма у дигиталној ери: примена мониторинга медијског плурализма у Европској Унији, Албанији, Црној Гори, Републици Северној Македонији, Србији и Турској у 2020. години - Извештај о земљи: Србија, Институт за европске студије Београд</w:t>
      </w:r>
    </w:p>
    <w:p w:rsidR="001B57DA" w:rsidRPr="00CB12C4" w:rsidRDefault="001B57DA" w:rsidP="001B57DA">
      <w:pPr>
        <w:jc w:val="both"/>
        <w:rPr>
          <w:noProof/>
          <w:lang w:val="sr-Cyrl-RS"/>
        </w:rPr>
      </w:pPr>
    </w:p>
    <w:p w:rsidR="001B57DA" w:rsidRPr="00CB12C4" w:rsidRDefault="001B57DA" w:rsidP="001B57DA">
      <w:pPr>
        <w:jc w:val="both"/>
        <w:rPr>
          <w:noProof/>
          <w:lang w:val="sr-Cyrl-RS"/>
        </w:rPr>
      </w:pPr>
      <w:r w:rsidRPr="00CB12C4">
        <w:rPr>
          <w:noProof/>
          <w:lang w:val="sr-Cyrl-RS"/>
        </w:rPr>
        <w:tab/>
        <w:t xml:space="preserve">Према међународним стандардима, Република Србија има средњи ризик у области </w:t>
      </w:r>
      <w:r w:rsidRPr="00CB12C4">
        <w:rPr>
          <w:i/>
          <w:noProof/>
          <w:lang w:val="sr-Cyrl-RS"/>
        </w:rPr>
        <w:t>Основне заштите</w:t>
      </w:r>
      <w:r w:rsidRPr="00CB12C4">
        <w:rPr>
          <w:noProof/>
          <w:lang w:val="sr-Cyrl-RS"/>
        </w:rPr>
        <w:t xml:space="preserve"> (45%). Ниједан од пет индикатора не показује низак или висок ризик у овој области, а највиши ризик је регистрован у вези са индикатором о </w:t>
      </w:r>
      <w:r>
        <w:rPr>
          <w:noProof/>
          <w:lang w:val="sr-Cyrl-RS"/>
        </w:rPr>
        <w:t>новинарској професији, стандар</w:t>
      </w:r>
      <w:r w:rsidRPr="00CB12C4">
        <w:rPr>
          <w:noProof/>
          <w:lang w:val="sr-Cyrl-RS"/>
        </w:rPr>
        <w:t>дима и заштити.</w:t>
      </w:r>
    </w:p>
    <w:p w:rsidR="001B57DA" w:rsidRPr="00CB12C4" w:rsidRDefault="001B57DA" w:rsidP="001B57DA">
      <w:pPr>
        <w:jc w:val="both"/>
        <w:rPr>
          <w:noProof/>
          <w:lang w:val="sr-Cyrl-RS"/>
        </w:rPr>
      </w:pPr>
    </w:p>
    <w:p w:rsidR="001B57DA" w:rsidRPr="00CB12C4" w:rsidRDefault="001B57DA" w:rsidP="001B57DA">
      <w:pPr>
        <w:jc w:val="center"/>
        <w:rPr>
          <w:b/>
          <w:noProof/>
          <w:lang w:val="sr-Cyrl-RS"/>
        </w:rPr>
      </w:pPr>
      <w:r w:rsidRPr="00CB12C4">
        <w:rPr>
          <w:b/>
          <w:noProof/>
          <w:lang w:val="sr-Cyrl-RS"/>
        </w:rPr>
        <w:t>Табела 2 – Социјална инклузија</w:t>
      </w:r>
    </w:p>
    <w:p w:rsidR="001B57DA" w:rsidRPr="00CB12C4" w:rsidRDefault="001B57DA" w:rsidP="001B57DA">
      <w:pPr>
        <w:jc w:val="center"/>
        <w:rPr>
          <w:noProof/>
        </w:rPr>
      </w:pPr>
      <w:r w:rsidRPr="00CB12C4">
        <w:rPr>
          <w:noProof/>
        </w:rPr>
        <w:drawing>
          <wp:inline distT="0" distB="0" distL="0" distR="0" wp14:anchorId="1948A086" wp14:editId="1242F81E">
            <wp:extent cx="5158740" cy="273558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8740" cy="2735580"/>
                    </a:xfrm>
                    <a:prstGeom prst="rect">
                      <a:avLst/>
                    </a:prstGeom>
                    <a:noFill/>
                    <a:ln>
                      <a:noFill/>
                    </a:ln>
                  </pic:spPr>
                </pic:pic>
              </a:graphicData>
            </a:graphic>
          </wp:inline>
        </w:drawing>
      </w:r>
    </w:p>
    <w:p w:rsidR="001B57DA" w:rsidRPr="00CB12C4" w:rsidRDefault="001B57DA" w:rsidP="001B57DA">
      <w:pPr>
        <w:jc w:val="both"/>
        <w:rPr>
          <w:noProof/>
        </w:rPr>
      </w:pPr>
    </w:p>
    <w:p w:rsidR="001B57DA" w:rsidRPr="00CB12C4" w:rsidRDefault="001B57DA" w:rsidP="001B57DA">
      <w:pPr>
        <w:jc w:val="both"/>
        <w:rPr>
          <w:noProof/>
          <w:lang w:val="sr-Cyrl-RS"/>
        </w:rPr>
      </w:pPr>
      <w:r w:rsidRPr="00CB12C4">
        <w:rPr>
          <w:i/>
          <w:noProof/>
          <w:lang w:val="sr-Cyrl-RS"/>
        </w:rPr>
        <w:t>Извор:</w:t>
      </w:r>
      <w:r w:rsidRPr="00CB12C4">
        <w:rPr>
          <w:noProof/>
          <w:lang w:val="sr-Cyrl-RS"/>
        </w:rPr>
        <w:t xml:space="preserve"> Мониторинг медијског плурализма у дигиталној ери, Институт за европске студије Београд</w:t>
      </w:r>
    </w:p>
    <w:p w:rsidR="001B57DA" w:rsidRPr="00CB12C4" w:rsidRDefault="001B57DA" w:rsidP="001B57DA">
      <w:pPr>
        <w:jc w:val="both"/>
        <w:rPr>
          <w:noProof/>
        </w:rPr>
      </w:pPr>
    </w:p>
    <w:p w:rsidR="001B57DA" w:rsidRPr="00CB12C4" w:rsidRDefault="001B57DA" w:rsidP="001B57DA">
      <w:pPr>
        <w:jc w:val="both"/>
        <w:rPr>
          <w:noProof/>
          <w:lang w:val="sr-Cyrl-RS"/>
        </w:rPr>
      </w:pPr>
      <w:r w:rsidRPr="00CB12C4">
        <w:rPr>
          <w:noProof/>
        </w:rPr>
        <w:lastRenderedPageBreak/>
        <w:tab/>
      </w:r>
      <w:r>
        <w:rPr>
          <w:noProof/>
          <w:lang w:val="sr-Cyrl-RS"/>
        </w:rPr>
        <w:t>Даљ</w:t>
      </w:r>
      <w:r w:rsidRPr="00CB12C4">
        <w:rPr>
          <w:noProof/>
          <w:lang w:val="sr-Cyrl-RS"/>
        </w:rPr>
        <w:t xml:space="preserve">е, мерења међународних институција показују да област </w:t>
      </w:r>
      <w:r w:rsidRPr="00CB12C4">
        <w:rPr>
          <w:i/>
          <w:noProof/>
          <w:lang w:val="sr-Cyrl-RS"/>
        </w:rPr>
        <w:t xml:space="preserve">Социјалне инклузије </w:t>
      </w:r>
      <w:r w:rsidRPr="00CB12C4">
        <w:rPr>
          <w:noProof/>
          <w:lang w:val="sr-Cyrl-RS"/>
        </w:rPr>
        <w:t>показује висок ризик за Републику Србију, са два (од пет) индикатора са оценом средњег ризика у тој области.</w:t>
      </w:r>
    </w:p>
    <w:p w:rsidR="001B57DA" w:rsidRPr="00CB12C4" w:rsidRDefault="001B57DA" w:rsidP="001B57DA">
      <w:pPr>
        <w:ind w:firstLine="720"/>
        <w:jc w:val="both"/>
        <w:rPr>
          <w:lang w:val="sr-Cyrl-RS"/>
        </w:rPr>
      </w:pPr>
      <w:r w:rsidRPr="00CB12C4">
        <w:rPr>
          <w:noProof/>
          <w:lang w:val="sr-Cyrl-RS"/>
        </w:rPr>
        <w:t>Индикатор Приступ мањина медијима добија оцену високог ризика од 69%. Закон легално признатим мањинама гарантује приступ времену емитовања на ЈМС. Последично, Радио-телевизија Војводине (РТВ) емитује програм на 16 језика, од којих је 14 језика националних мањина. Њен други телевизијски канал посвећен је мањинским језицима и емитује се на њих 11. У току закључавања услед пандемије ковида 19, РТВ и медији националних мањина реализовали су програме учења на даљину за ученике који похађају наставу на језицима националних мањина. Насупрот томе, Радио- телевизија Србије (РТС) у веома малом проценту емитује на језицима националних мањина. Главни ризици потичу од непропорционалног приступа времену емитовања за мањине које нису признате, као и од субиндикатора о приступу медијима за особе са инвалидитетом, који добија оцену високог ризика због чињенице да не постоји политика извештавања нити адекватан приступ ове групе садржајима ЈМС-а или комерцијалних медија.</w:t>
      </w:r>
    </w:p>
    <w:p w:rsidR="001B57DA" w:rsidRPr="00CB12C4" w:rsidRDefault="001B57DA" w:rsidP="001B57DA">
      <w:pPr>
        <w:jc w:val="both"/>
        <w:rPr>
          <w:lang w:val="ru-RU"/>
        </w:rPr>
      </w:pPr>
    </w:p>
    <w:p w:rsidR="001B57DA" w:rsidRPr="00CB12C4" w:rsidRDefault="001B57DA" w:rsidP="001B57DA">
      <w:pPr>
        <w:jc w:val="both"/>
        <w:rPr>
          <w:lang w:val="sr-Cyrl-RS"/>
        </w:rPr>
      </w:pPr>
      <w:r w:rsidRPr="00CB12C4">
        <w:rPr>
          <w:lang w:val="ru-RU"/>
        </w:rPr>
        <w:tab/>
      </w:r>
      <w:r w:rsidRPr="00CB12C4">
        <w:rPr>
          <w:lang w:val="sr-Cyrl-RS"/>
        </w:rPr>
        <w:t>Према Годишњем извештају о раду за 2022. годину, у Агенцији за привредне регистре – Регистар медија на дан 31. 12. 2022. године било је рег</w:t>
      </w:r>
      <w:r>
        <w:rPr>
          <w:lang w:val="sr-Cyrl-RS"/>
        </w:rPr>
        <w:t>истровано 2.940 активних медија. Према службеним евиденцијама Министарства информисања и телекомуникација, на дан 12.09.2023. године у Републици Србији послује укупно 2.578 медија (табела у наставку).</w:t>
      </w:r>
    </w:p>
    <w:p w:rsidR="001B57DA" w:rsidRPr="00CB12C4" w:rsidRDefault="001B57DA" w:rsidP="001B57DA">
      <w:pPr>
        <w:jc w:val="both"/>
        <w:rPr>
          <w:lang w:val="sr-Cyrl-RS"/>
        </w:rPr>
      </w:pPr>
    </w:p>
    <w:p w:rsidR="001B57DA" w:rsidRPr="00CB12C4" w:rsidRDefault="001B57DA" w:rsidP="001B57DA">
      <w:pPr>
        <w:jc w:val="both"/>
        <w:rPr>
          <w:lang w:val="ru-RU"/>
        </w:rPr>
      </w:pPr>
    </w:p>
    <w:tbl>
      <w:tblPr>
        <w:tblW w:w="9000" w:type="dxa"/>
        <w:tblInd w:w="-5" w:type="dxa"/>
        <w:tblLook w:val="04A0" w:firstRow="1" w:lastRow="0" w:firstColumn="1" w:lastColumn="0" w:noHBand="0" w:noVBand="1"/>
      </w:tblPr>
      <w:tblGrid>
        <w:gridCol w:w="5220"/>
        <w:gridCol w:w="1440"/>
        <w:gridCol w:w="1080"/>
        <w:gridCol w:w="1260"/>
      </w:tblGrid>
      <w:tr w:rsidR="001B57DA" w:rsidRPr="005C5D3B" w:rsidTr="00BF787F">
        <w:trPr>
          <w:trHeight w:val="264"/>
        </w:trPr>
        <w:tc>
          <w:tcPr>
            <w:tcW w:w="5220" w:type="dxa"/>
            <w:tcBorders>
              <w:top w:val="single" w:sz="4" w:space="0" w:color="D3D3D3"/>
              <w:left w:val="single" w:sz="4" w:space="0" w:color="D3D3D3"/>
              <w:bottom w:val="single" w:sz="4" w:space="0" w:color="D3D3D3"/>
              <w:right w:val="single" w:sz="4" w:space="0" w:color="D3D3D3"/>
            </w:tcBorders>
            <w:shd w:val="clear" w:color="auto" w:fill="DEEAF6" w:themeFill="accent1" w:themeFillTint="33"/>
            <w:hideMark/>
          </w:tcPr>
          <w:p w:rsidR="001B57DA" w:rsidRPr="005C5D3B" w:rsidRDefault="001B57DA" w:rsidP="00BF787F">
            <w:pPr>
              <w:rPr>
                <w:b/>
                <w:bCs/>
                <w:color w:val="000000"/>
              </w:rPr>
            </w:pPr>
            <w:r w:rsidRPr="005C5D3B">
              <w:rPr>
                <w:b/>
                <w:bCs/>
                <w:color w:val="000000"/>
              </w:rPr>
              <w:t>Форма</w:t>
            </w:r>
          </w:p>
        </w:tc>
        <w:tc>
          <w:tcPr>
            <w:tcW w:w="1440" w:type="dxa"/>
            <w:tcBorders>
              <w:top w:val="single" w:sz="4" w:space="0" w:color="D3D3D3"/>
              <w:left w:val="single" w:sz="4" w:space="0" w:color="D3D3D3"/>
              <w:bottom w:val="single" w:sz="4" w:space="0" w:color="D3D3D3"/>
              <w:right w:val="single" w:sz="4" w:space="0" w:color="D3D3D3"/>
            </w:tcBorders>
            <w:shd w:val="clear" w:color="auto" w:fill="DEEAF6" w:themeFill="accent1" w:themeFillTint="33"/>
            <w:hideMark/>
          </w:tcPr>
          <w:p w:rsidR="001B57DA" w:rsidRPr="005C5D3B" w:rsidRDefault="001B57DA" w:rsidP="00BF787F">
            <w:pPr>
              <w:jc w:val="right"/>
              <w:rPr>
                <w:b/>
                <w:bCs/>
                <w:color w:val="000000"/>
              </w:rPr>
            </w:pPr>
            <w:r w:rsidRPr="005C5D3B">
              <w:rPr>
                <w:b/>
                <w:bCs/>
                <w:color w:val="000000"/>
              </w:rPr>
              <w:t>Активан</w:t>
            </w:r>
          </w:p>
        </w:tc>
        <w:tc>
          <w:tcPr>
            <w:tcW w:w="1080" w:type="dxa"/>
            <w:tcBorders>
              <w:top w:val="single" w:sz="4" w:space="0" w:color="D3D3D3"/>
              <w:left w:val="nil"/>
              <w:bottom w:val="single" w:sz="4" w:space="0" w:color="D3D3D3"/>
              <w:right w:val="single" w:sz="4" w:space="0" w:color="D3D3D3"/>
            </w:tcBorders>
            <w:shd w:val="clear" w:color="auto" w:fill="DEEAF6" w:themeFill="accent1" w:themeFillTint="33"/>
            <w:hideMark/>
          </w:tcPr>
          <w:p w:rsidR="001B57DA" w:rsidRPr="005C5D3B" w:rsidRDefault="001B57DA" w:rsidP="00BF787F">
            <w:pPr>
              <w:jc w:val="right"/>
              <w:rPr>
                <w:b/>
                <w:bCs/>
                <w:color w:val="000000"/>
              </w:rPr>
            </w:pPr>
            <w:r w:rsidRPr="005C5D3B">
              <w:rPr>
                <w:b/>
                <w:bCs/>
                <w:color w:val="000000"/>
              </w:rPr>
              <w:t>Брисан</w:t>
            </w:r>
          </w:p>
        </w:tc>
        <w:tc>
          <w:tcPr>
            <w:tcW w:w="1260" w:type="dxa"/>
            <w:tcBorders>
              <w:top w:val="single" w:sz="4" w:space="0" w:color="D3D3D3"/>
              <w:left w:val="nil"/>
              <w:bottom w:val="single" w:sz="4" w:space="0" w:color="D3D3D3"/>
              <w:right w:val="single" w:sz="4" w:space="0" w:color="D3D3D3"/>
            </w:tcBorders>
            <w:shd w:val="clear" w:color="auto" w:fill="DEEAF6" w:themeFill="accent1" w:themeFillTint="33"/>
            <w:hideMark/>
          </w:tcPr>
          <w:p w:rsidR="001B57DA" w:rsidRPr="005C5D3B" w:rsidRDefault="001B57DA" w:rsidP="00BF787F">
            <w:pPr>
              <w:jc w:val="right"/>
              <w:rPr>
                <w:b/>
                <w:bCs/>
                <w:color w:val="000000"/>
              </w:rPr>
            </w:pPr>
            <w:r w:rsidRPr="005C5D3B">
              <w:rPr>
                <w:b/>
                <w:bCs/>
                <w:color w:val="000000"/>
              </w:rPr>
              <w:t>Укупно</w:t>
            </w:r>
          </w:p>
        </w:tc>
      </w:tr>
      <w:tr w:rsidR="001B57DA" w:rsidRPr="005C5D3B" w:rsidTr="00BF787F">
        <w:trPr>
          <w:trHeight w:val="264"/>
        </w:trPr>
        <w:tc>
          <w:tcPr>
            <w:tcW w:w="5220" w:type="dxa"/>
            <w:tcBorders>
              <w:top w:val="single" w:sz="4" w:space="0" w:color="D3D3D3"/>
              <w:left w:val="single" w:sz="4" w:space="0" w:color="D3D3D3"/>
              <w:bottom w:val="single" w:sz="4" w:space="0" w:color="D3D3D3"/>
              <w:right w:val="single" w:sz="4" w:space="0" w:color="D3D3D3"/>
            </w:tcBorders>
            <w:shd w:val="clear" w:color="auto" w:fill="auto"/>
            <w:hideMark/>
          </w:tcPr>
          <w:p w:rsidR="001B57DA" w:rsidRPr="005C5D3B" w:rsidRDefault="001B57DA" w:rsidP="00BF787F">
            <w:pPr>
              <w:rPr>
                <w:color w:val="000000"/>
              </w:rPr>
            </w:pPr>
            <w:r w:rsidRPr="005C5D3B">
              <w:rPr>
                <w:color w:val="000000"/>
              </w:rPr>
              <w:t>Дневне и периодичне новине</w:t>
            </w:r>
          </w:p>
        </w:tc>
        <w:tc>
          <w:tcPr>
            <w:tcW w:w="1440" w:type="dxa"/>
            <w:tcBorders>
              <w:top w:val="nil"/>
              <w:left w:val="single" w:sz="4" w:space="0" w:color="D3D3D3"/>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810</w:t>
            </w:r>
          </w:p>
        </w:tc>
        <w:tc>
          <w:tcPr>
            <w:tcW w:w="108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230</w:t>
            </w:r>
          </w:p>
        </w:tc>
        <w:tc>
          <w:tcPr>
            <w:tcW w:w="126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1,040</w:t>
            </w:r>
          </w:p>
        </w:tc>
      </w:tr>
      <w:tr w:rsidR="001B57DA" w:rsidRPr="005C5D3B" w:rsidTr="00BF787F">
        <w:trPr>
          <w:trHeight w:val="264"/>
        </w:trPr>
        <w:tc>
          <w:tcPr>
            <w:tcW w:w="5220" w:type="dxa"/>
            <w:tcBorders>
              <w:top w:val="single" w:sz="4" w:space="0" w:color="D3D3D3"/>
              <w:left w:val="single" w:sz="4" w:space="0" w:color="D3D3D3"/>
              <w:bottom w:val="single" w:sz="4" w:space="0" w:color="D3D3D3"/>
              <w:right w:val="single" w:sz="4" w:space="0" w:color="D3D3D3"/>
            </w:tcBorders>
            <w:shd w:val="clear" w:color="auto" w:fill="auto"/>
            <w:hideMark/>
          </w:tcPr>
          <w:p w:rsidR="001B57DA" w:rsidRPr="005C5D3B" w:rsidRDefault="001B57DA" w:rsidP="00BF787F">
            <w:pPr>
              <w:rPr>
                <w:color w:val="000000"/>
              </w:rPr>
            </w:pPr>
            <w:r w:rsidRPr="005C5D3B">
              <w:rPr>
                <w:color w:val="000000"/>
              </w:rPr>
              <w:t>Радио програм</w:t>
            </w:r>
          </w:p>
        </w:tc>
        <w:tc>
          <w:tcPr>
            <w:tcW w:w="1440" w:type="dxa"/>
            <w:tcBorders>
              <w:top w:val="nil"/>
              <w:left w:val="single" w:sz="4" w:space="0" w:color="D3D3D3"/>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311</w:t>
            </w:r>
          </w:p>
        </w:tc>
        <w:tc>
          <w:tcPr>
            <w:tcW w:w="108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43</w:t>
            </w:r>
          </w:p>
        </w:tc>
        <w:tc>
          <w:tcPr>
            <w:tcW w:w="126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354</w:t>
            </w:r>
          </w:p>
        </w:tc>
      </w:tr>
      <w:tr w:rsidR="001B57DA" w:rsidRPr="005C5D3B" w:rsidTr="00BF787F">
        <w:trPr>
          <w:trHeight w:val="264"/>
        </w:trPr>
        <w:tc>
          <w:tcPr>
            <w:tcW w:w="5220" w:type="dxa"/>
            <w:tcBorders>
              <w:top w:val="single" w:sz="4" w:space="0" w:color="D3D3D3"/>
              <w:left w:val="single" w:sz="4" w:space="0" w:color="D3D3D3"/>
              <w:bottom w:val="single" w:sz="4" w:space="0" w:color="D3D3D3"/>
              <w:right w:val="single" w:sz="4" w:space="0" w:color="D3D3D3"/>
            </w:tcBorders>
            <w:shd w:val="clear" w:color="auto" w:fill="auto"/>
            <w:hideMark/>
          </w:tcPr>
          <w:p w:rsidR="001B57DA" w:rsidRPr="005C5D3B" w:rsidRDefault="001B57DA" w:rsidP="00BF787F">
            <w:pPr>
              <w:rPr>
                <w:color w:val="000000"/>
              </w:rPr>
            </w:pPr>
            <w:r w:rsidRPr="005C5D3B">
              <w:rPr>
                <w:color w:val="000000"/>
              </w:rPr>
              <w:t>Телевизијски програм</w:t>
            </w:r>
          </w:p>
        </w:tc>
        <w:tc>
          <w:tcPr>
            <w:tcW w:w="1440" w:type="dxa"/>
            <w:tcBorders>
              <w:top w:val="nil"/>
              <w:left w:val="single" w:sz="4" w:space="0" w:color="D3D3D3"/>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229</w:t>
            </w:r>
          </w:p>
        </w:tc>
        <w:tc>
          <w:tcPr>
            <w:tcW w:w="108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39</w:t>
            </w:r>
          </w:p>
        </w:tc>
        <w:tc>
          <w:tcPr>
            <w:tcW w:w="126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268</w:t>
            </w:r>
          </w:p>
        </w:tc>
      </w:tr>
      <w:tr w:rsidR="001B57DA" w:rsidRPr="005C5D3B" w:rsidTr="00BF787F">
        <w:trPr>
          <w:trHeight w:val="264"/>
        </w:trPr>
        <w:tc>
          <w:tcPr>
            <w:tcW w:w="5220" w:type="dxa"/>
            <w:tcBorders>
              <w:top w:val="single" w:sz="4" w:space="0" w:color="D3D3D3"/>
              <w:left w:val="single" w:sz="4" w:space="0" w:color="D3D3D3"/>
              <w:bottom w:val="single" w:sz="4" w:space="0" w:color="D3D3D3"/>
              <w:right w:val="single" w:sz="4" w:space="0" w:color="D3D3D3"/>
            </w:tcBorders>
            <w:shd w:val="clear" w:color="auto" w:fill="auto"/>
            <w:hideMark/>
          </w:tcPr>
          <w:p w:rsidR="001B57DA" w:rsidRPr="005C5D3B" w:rsidRDefault="001B57DA" w:rsidP="00BF787F">
            <w:pPr>
              <w:rPr>
                <w:color w:val="000000"/>
              </w:rPr>
            </w:pPr>
            <w:r w:rsidRPr="005C5D3B">
              <w:rPr>
                <w:color w:val="000000"/>
              </w:rPr>
              <w:t>Самостална електронска издања интернет портали</w:t>
            </w:r>
          </w:p>
        </w:tc>
        <w:tc>
          <w:tcPr>
            <w:tcW w:w="1440" w:type="dxa"/>
            <w:tcBorders>
              <w:top w:val="nil"/>
              <w:left w:val="single" w:sz="4" w:space="0" w:color="D3D3D3"/>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1,001</w:t>
            </w:r>
          </w:p>
        </w:tc>
        <w:tc>
          <w:tcPr>
            <w:tcW w:w="108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94</w:t>
            </w:r>
          </w:p>
        </w:tc>
        <w:tc>
          <w:tcPr>
            <w:tcW w:w="126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1,095</w:t>
            </w:r>
          </w:p>
        </w:tc>
      </w:tr>
      <w:tr w:rsidR="001B57DA" w:rsidRPr="005C5D3B" w:rsidTr="00BF787F">
        <w:trPr>
          <w:trHeight w:val="264"/>
        </w:trPr>
        <w:tc>
          <w:tcPr>
            <w:tcW w:w="5220" w:type="dxa"/>
            <w:tcBorders>
              <w:top w:val="single" w:sz="4" w:space="0" w:color="D3D3D3"/>
              <w:left w:val="single" w:sz="4" w:space="0" w:color="D3D3D3"/>
              <w:bottom w:val="single" w:sz="4" w:space="0" w:color="D3D3D3"/>
              <w:right w:val="single" w:sz="4" w:space="0" w:color="D3D3D3"/>
            </w:tcBorders>
            <w:shd w:val="clear" w:color="auto" w:fill="auto"/>
            <w:hideMark/>
          </w:tcPr>
          <w:p w:rsidR="001B57DA" w:rsidRPr="005C5D3B" w:rsidRDefault="001B57DA" w:rsidP="00BF787F">
            <w:pPr>
              <w:rPr>
                <w:color w:val="000000"/>
              </w:rPr>
            </w:pPr>
            <w:r w:rsidRPr="005C5D3B">
              <w:rPr>
                <w:color w:val="000000"/>
              </w:rPr>
              <w:t>Самостална електронска издања уређивачки обликоване интернет странице</w:t>
            </w:r>
          </w:p>
        </w:tc>
        <w:tc>
          <w:tcPr>
            <w:tcW w:w="1440" w:type="dxa"/>
            <w:tcBorders>
              <w:top w:val="nil"/>
              <w:left w:val="single" w:sz="4" w:space="0" w:color="D3D3D3"/>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96</w:t>
            </w:r>
          </w:p>
        </w:tc>
        <w:tc>
          <w:tcPr>
            <w:tcW w:w="108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4</w:t>
            </w:r>
          </w:p>
        </w:tc>
        <w:tc>
          <w:tcPr>
            <w:tcW w:w="126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100</w:t>
            </w:r>
          </w:p>
        </w:tc>
      </w:tr>
      <w:tr w:rsidR="001B57DA" w:rsidRPr="005C5D3B" w:rsidTr="00BF787F">
        <w:trPr>
          <w:trHeight w:val="264"/>
        </w:trPr>
        <w:tc>
          <w:tcPr>
            <w:tcW w:w="5220" w:type="dxa"/>
            <w:tcBorders>
              <w:top w:val="single" w:sz="4" w:space="0" w:color="D3D3D3"/>
              <w:left w:val="single" w:sz="4" w:space="0" w:color="D3D3D3"/>
              <w:bottom w:val="single" w:sz="4" w:space="0" w:color="D3D3D3"/>
              <w:right w:val="single" w:sz="4" w:space="0" w:color="D3D3D3"/>
            </w:tcBorders>
            <w:shd w:val="clear" w:color="auto" w:fill="auto"/>
            <w:hideMark/>
          </w:tcPr>
          <w:p w:rsidR="001B57DA" w:rsidRPr="005C5D3B" w:rsidRDefault="001B57DA" w:rsidP="00BF787F">
            <w:pPr>
              <w:rPr>
                <w:color w:val="000000"/>
              </w:rPr>
            </w:pPr>
            <w:r w:rsidRPr="005C5D3B">
              <w:rPr>
                <w:color w:val="000000"/>
              </w:rPr>
              <w:t>Сервис новинске агенције</w:t>
            </w:r>
          </w:p>
        </w:tc>
        <w:tc>
          <w:tcPr>
            <w:tcW w:w="1440" w:type="dxa"/>
            <w:tcBorders>
              <w:top w:val="nil"/>
              <w:left w:val="single" w:sz="4" w:space="0" w:color="D3D3D3"/>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32</w:t>
            </w:r>
          </w:p>
        </w:tc>
        <w:tc>
          <w:tcPr>
            <w:tcW w:w="108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14</w:t>
            </w:r>
          </w:p>
        </w:tc>
        <w:tc>
          <w:tcPr>
            <w:tcW w:w="126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46</w:t>
            </w:r>
          </w:p>
        </w:tc>
      </w:tr>
      <w:tr w:rsidR="001B57DA" w:rsidRPr="005C5D3B" w:rsidTr="00BF787F">
        <w:trPr>
          <w:trHeight w:val="264"/>
        </w:trPr>
        <w:tc>
          <w:tcPr>
            <w:tcW w:w="5220" w:type="dxa"/>
            <w:tcBorders>
              <w:top w:val="single" w:sz="4" w:space="0" w:color="D3D3D3"/>
              <w:left w:val="single" w:sz="4" w:space="0" w:color="D3D3D3"/>
              <w:bottom w:val="single" w:sz="4" w:space="0" w:color="D3D3D3"/>
              <w:right w:val="single" w:sz="4" w:space="0" w:color="D3D3D3"/>
            </w:tcBorders>
            <w:shd w:val="clear" w:color="auto" w:fill="auto"/>
            <w:hideMark/>
          </w:tcPr>
          <w:p w:rsidR="001B57DA" w:rsidRPr="005C5D3B" w:rsidRDefault="001B57DA" w:rsidP="00BF787F">
            <w:pPr>
              <w:rPr>
                <w:color w:val="000000"/>
              </w:rPr>
            </w:pPr>
            <w:r w:rsidRPr="005C5D3B">
              <w:rPr>
                <w:color w:val="000000"/>
              </w:rPr>
              <w:t>Oстало</w:t>
            </w:r>
          </w:p>
        </w:tc>
        <w:tc>
          <w:tcPr>
            <w:tcW w:w="1440" w:type="dxa"/>
            <w:tcBorders>
              <w:top w:val="nil"/>
              <w:left w:val="single" w:sz="4" w:space="0" w:color="D3D3D3"/>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16</w:t>
            </w:r>
          </w:p>
        </w:tc>
        <w:tc>
          <w:tcPr>
            <w:tcW w:w="108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1</w:t>
            </w:r>
          </w:p>
        </w:tc>
        <w:tc>
          <w:tcPr>
            <w:tcW w:w="126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17</w:t>
            </w:r>
          </w:p>
        </w:tc>
      </w:tr>
      <w:tr w:rsidR="001B57DA" w:rsidRPr="005C5D3B" w:rsidTr="00BF787F">
        <w:trPr>
          <w:trHeight w:val="264"/>
        </w:trPr>
        <w:tc>
          <w:tcPr>
            <w:tcW w:w="5220" w:type="dxa"/>
            <w:tcBorders>
              <w:top w:val="single" w:sz="4" w:space="0" w:color="D3D3D3"/>
              <w:left w:val="single" w:sz="4" w:space="0" w:color="D3D3D3"/>
              <w:bottom w:val="single" w:sz="4" w:space="0" w:color="D3D3D3"/>
              <w:right w:val="single" w:sz="4" w:space="0" w:color="D3D3D3"/>
            </w:tcBorders>
            <w:shd w:val="clear" w:color="auto" w:fill="auto"/>
            <w:hideMark/>
          </w:tcPr>
          <w:p w:rsidR="001B57DA" w:rsidRPr="005C5D3B" w:rsidRDefault="001B57DA" w:rsidP="00BF787F">
            <w:pPr>
              <w:rPr>
                <w:color w:val="000000"/>
              </w:rPr>
            </w:pPr>
            <w:r w:rsidRPr="005C5D3B">
              <w:rPr>
                <w:color w:val="000000"/>
              </w:rPr>
              <w:t>Недефинисано</w:t>
            </w:r>
          </w:p>
        </w:tc>
        <w:tc>
          <w:tcPr>
            <w:tcW w:w="1440" w:type="dxa"/>
            <w:tcBorders>
              <w:top w:val="nil"/>
              <w:left w:val="single" w:sz="4" w:space="0" w:color="D3D3D3"/>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83</w:t>
            </w:r>
          </w:p>
        </w:tc>
        <w:tc>
          <w:tcPr>
            <w:tcW w:w="108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47</w:t>
            </w:r>
          </w:p>
        </w:tc>
        <w:tc>
          <w:tcPr>
            <w:tcW w:w="1260" w:type="dxa"/>
            <w:tcBorders>
              <w:top w:val="nil"/>
              <w:left w:val="nil"/>
              <w:bottom w:val="single" w:sz="4" w:space="0" w:color="D3D3D3"/>
              <w:right w:val="single" w:sz="4" w:space="0" w:color="D3D3D3"/>
            </w:tcBorders>
            <w:shd w:val="clear" w:color="auto" w:fill="auto"/>
            <w:hideMark/>
          </w:tcPr>
          <w:p w:rsidR="001B57DA" w:rsidRPr="005C5D3B" w:rsidRDefault="001B57DA" w:rsidP="00BF787F">
            <w:pPr>
              <w:jc w:val="right"/>
              <w:rPr>
                <w:color w:val="000000"/>
              </w:rPr>
            </w:pPr>
            <w:r w:rsidRPr="005C5D3B">
              <w:rPr>
                <w:color w:val="000000"/>
              </w:rPr>
              <w:t>130</w:t>
            </w:r>
          </w:p>
        </w:tc>
      </w:tr>
      <w:tr w:rsidR="001B57DA" w:rsidRPr="005C5D3B" w:rsidTr="00BF787F">
        <w:trPr>
          <w:trHeight w:val="264"/>
        </w:trPr>
        <w:tc>
          <w:tcPr>
            <w:tcW w:w="5220" w:type="dxa"/>
            <w:tcBorders>
              <w:top w:val="single" w:sz="4" w:space="0" w:color="D3D3D3"/>
              <w:left w:val="single" w:sz="4" w:space="0" w:color="D3D3D3"/>
              <w:bottom w:val="single" w:sz="4" w:space="0" w:color="D3D3D3"/>
              <w:right w:val="single" w:sz="4" w:space="0" w:color="D3D3D3"/>
            </w:tcBorders>
            <w:shd w:val="clear" w:color="auto" w:fill="auto"/>
            <w:hideMark/>
          </w:tcPr>
          <w:p w:rsidR="001B57DA" w:rsidRPr="005C5D3B" w:rsidRDefault="001B57DA" w:rsidP="00BF787F">
            <w:pPr>
              <w:rPr>
                <w:color w:val="000000"/>
              </w:rPr>
            </w:pPr>
            <w:r w:rsidRPr="005C5D3B">
              <w:rPr>
                <w:color w:val="000000"/>
              </w:rPr>
              <w:t> </w:t>
            </w:r>
          </w:p>
        </w:tc>
        <w:tc>
          <w:tcPr>
            <w:tcW w:w="1440" w:type="dxa"/>
            <w:tcBorders>
              <w:top w:val="nil"/>
              <w:left w:val="single" w:sz="4" w:space="0" w:color="D3D3D3"/>
              <w:bottom w:val="single" w:sz="4" w:space="0" w:color="D3D3D3"/>
              <w:right w:val="single" w:sz="4" w:space="0" w:color="D3D3D3"/>
            </w:tcBorders>
            <w:shd w:val="clear" w:color="auto" w:fill="DEEAF6" w:themeFill="accent1" w:themeFillTint="33"/>
            <w:hideMark/>
          </w:tcPr>
          <w:p w:rsidR="001B57DA" w:rsidRPr="005C5D3B" w:rsidRDefault="001B57DA" w:rsidP="00BF787F">
            <w:pPr>
              <w:jc w:val="right"/>
              <w:rPr>
                <w:b/>
                <w:bCs/>
                <w:color w:val="000000"/>
              </w:rPr>
            </w:pPr>
            <w:r w:rsidRPr="005C5D3B">
              <w:rPr>
                <w:b/>
                <w:bCs/>
                <w:color w:val="000000"/>
              </w:rPr>
              <w:t>2,578</w:t>
            </w:r>
          </w:p>
        </w:tc>
        <w:tc>
          <w:tcPr>
            <w:tcW w:w="1080" w:type="dxa"/>
            <w:tcBorders>
              <w:top w:val="nil"/>
              <w:left w:val="nil"/>
              <w:bottom w:val="single" w:sz="4" w:space="0" w:color="D3D3D3"/>
              <w:right w:val="single" w:sz="4" w:space="0" w:color="D3D3D3"/>
            </w:tcBorders>
            <w:shd w:val="clear" w:color="auto" w:fill="DEEAF6" w:themeFill="accent1" w:themeFillTint="33"/>
            <w:hideMark/>
          </w:tcPr>
          <w:p w:rsidR="001B57DA" w:rsidRPr="005C5D3B" w:rsidRDefault="001B57DA" w:rsidP="00BF787F">
            <w:pPr>
              <w:jc w:val="right"/>
              <w:rPr>
                <w:b/>
                <w:bCs/>
                <w:color w:val="000000"/>
              </w:rPr>
            </w:pPr>
            <w:r w:rsidRPr="005C5D3B">
              <w:rPr>
                <w:b/>
                <w:bCs/>
                <w:color w:val="000000"/>
              </w:rPr>
              <w:t>472</w:t>
            </w:r>
          </w:p>
        </w:tc>
        <w:tc>
          <w:tcPr>
            <w:tcW w:w="1260" w:type="dxa"/>
            <w:tcBorders>
              <w:top w:val="nil"/>
              <w:left w:val="nil"/>
              <w:bottom w:val="single" w:sz="4" w:space="0" w:color="D3D3D3"/>
              <w:right w:val="single" w:sz="4" w:space="0" w:color="D3D3D3"/>
            </w:tcBorders>
            <w:shd w:val="clear" w:color="auto" w:fill="DEEAF6" w:themeFill="accent1" w:themeFillTint="33"/>
            <w:hideMark/>
          </w:tcPr>
          <w:p w:rsidR="001B57DA" w:rsidRPr="005C5D3B" w:rsidRDefault="001B57DA" w:rsidP="00BF787F">
            <w:pPr>
              <w:jc w:val="right"/>
              <w:rPr>
                <w:b/>
                <w:bCs/>
                <w:color w:val="000000"/>
              </w:rPr>
            </w:pPr>
            <w:r w:rsidRPr="005C5D3B">
              <w:rPr>
                <w:b/>
                <w:bCs/>
                <w:color w:val="000000"/>
              </w:rPr>
              <w:t>3,050</w:t>
            </w:r>
          </w:p>
        </w:tc>
      </w:tr>
    </w:tbl>
    <w:p w:rsidR="001B57DA" w:rsidRDefault="001B57DA" w:rsidP="001B57DA">
      <w:pPr>
        <w:jc w:val="both"/>
        <w:rPr>
          <w:noProof/>
          <w:lang w:val="sr-Latn-RS"/>
        </w:rPr>
      </w:pPr>
    </w:p>
    <w:p w:rsidR="001B57DA" w:rsidRPr="00CB12C4" w:rsidRDefault="001B57DA" w:rsidP="001B57DA">
      <w:pPr>
        <w:ind w:firstLine="720"/>
        <w:jc w:val="both"/>
        <w:rPr>
          <w:color w:val="000000"/>
        </w:rPr>
      </w:pPr>
      <w:r w:rsidRPr="00CB12C4">
        <w:rPr>
          <w:noProof/>
          <w:lang w:val="sr-Latn-RS"/>
        </w:rPr>
        <w:t>M</w:t>
      </w:r>
      <w:r w:rsidRPr="00CB12C4">
        <w:rPr>
          <w:noProof/>
          <w:lang w:val="sr-Cyrl-RS"/>
        </w:rPr>
        <w:t>ерења међународних институција показују да област</w:t>
      </w:r>
      <w:r w:rsidRPr="00CB12C4">
        <w:rPr>
          <w:color w:val="000000"/>
        </w:rPr>
        <w:t xml:space="preserve"> </w:t>
      </w:r>
      <w:r w:rsidRPr="00CB12C4">
        <w:rPr>
          <w:i/>
          <w:color w:val="000000"/>
        </w:rPr>
        <w:t>Плурализма тржишта</w:t>
      </w:r>
      <w:r w:rsidRPr="00CB12C4">
        <w:rPr>
          <w:color w:val="000000"/>
        </w:rPr>
        <w:t xml:space="preserve"> указује на највиши ризик појединачно са 69%. Индикатор Транспарентност власништва над медијима показује средњу оцену ризика од 47%. </w:t>
      </w:r>
      <w:r>
        <w:rPr>
          <w:color w:val="000000"/>
          <w:lang w:val="sr-Cyrl-RS"/>
        </w:rPr>
        <w:t xml:space="preserve">Законодавство </w:t>
      </w:r>
      <w:r>
        <w:rPr>
          <w:color w:val="000000"/>
        </w:rPr>
        <w:t>прописује</w:t>
      </w:r>
      <w:r w:rsidRPr="00CB12C4">
        <w:rPr>
          <w:color w:val="000000"/>
        </w:rPr>
        <w:t xml:space="preserve"> обавезну и јавно доступну евиденцију стварних крајњих </w:t>
      </w:r>
      <w:r>
        <w:rPr>
          <w:color w:val="000000"/>
        </w:rPr>
        <w:t xml:space="preserve">власника медија, коју води </w:t>
      </w:r>
      <w:r w:rsidRPr="00CB12C4">
        <w:rPr>
          <w:color w:val="000000"/>
        </w:rPr>
        <w:t>Агенциј</w:t>
      </w:r>
      <w:r>
        <w:rPr>
          <w:color w:val="000000"/>
          <w:lang w:val="sr-Cyrl-RS"/>
        </w:rPr>
        <w:t>а</w:t>
      </w:r>
      <w:r w:rsidRPr="00CB12C4">
        <w:rPr>
          <w:color w:val="000000"/>
        </w:rPr>
        <w:t xml:space="preserve"> за привредне регистре.</w:t>
      </w:r>
    </w:p>
    <w:p w:rsidR="001B57DA" w:rsidRDefault="001B57DA" w:rsidP="001B57DA">
      <w:pPr>
        <w:jc w:val="both"/>
        <w:rPr>
          <w:color w:val="000000"/>
        </w:rPr>
      </w:pPr>
    </w:p>
    <w:p w:rsidR="001B57DA" w:rsidRDefault="001B57DA" w:rsidP="001B57DA">
      <w:pPr>
        <w:jc w:val="both"/>
        <w:rPr>
          <w:color w:val="000000"/>
        </w:rPr>
      </w:pPr>
    </w:p>
    <w:p w:rsidR="003B7BBF" w:rsidRDefault="003B7BBF" w:rsidP="001B57DA">
      <w:pPr>
        <w:jc w:val="both"/>
        <w:rPr>
          <w:color w:val="000000"/>
        </w:rPr>
      </w:pPr>
    </w:p>
    <w:p w:rsidR="003B7BBF" w:rsidRDefault="003B7BBF" w:rsidP="001B57DA">
      <w:pPr>
        <w:jc w:val="both"/>
        <w:rPr>
          <w:color w:val="000000"/>
        </w:rPr>
      </w:pPr>
    </w:p>
    <w:p w:rsidR="003B7BBF" w:rsidRDefault="003B7BBF" w:rsidP="001B57DA">
      <w:pPr>
        <w:jc w:val="both"/>
        <w:rPr>
          <w:color w:val="000000"/>
        </w:rPr>
      </w:pPr>
    </w:p>
    <w:p w:rsidR="003B7BBF" w:rsidRDefault="003B7BBF" w:rsidP="001B57DA">
      <w:pPr>
        <w:jc w:val="both"/>
        <w:rPr>
          <w:color w:val="000000"/>
        </w:rPr>
      </w:pPr>
    </w:p>
    <w:p w:rsidR="003B7BBF" w:rsidRPr="00CB12C4" w:rsidRDefault="003B7BBF" w:rsidP="001B57DA">
      <w:pPr>
        <w:jc w:val="both"/>
        <w:rPr>
          <w:color w:val="000000"/>
        </w:rPr>
      </w:pPr>
    </w:p>
    <w:p w:rsidR="001B57DA" w:rsidRPr="00CB12C4" w:rsidRDefault="001B57DA" w:rsidP="001B57DA">
      <w:pPr>
        <w:jc w:val="center"/>
        <w:rPr>
          <w:b/>
          <w:noProof/>
          <w:lang w:val="sr-Latn-RS"/>
        </w:rPr>
      </w:pPr>
      <w:r w:rsidRPr="00CB12C4">
        <w:rPr>
          <w:b/>
          <w:noProof/>
          <w:lang w:val="sr-Cyrl-RS"/>
        </w:rPr>
        <w:lastRenderedPageBreak/>
        <w:t xml:space="preserve">Табела 3 – </w:t>
      </w:r>
      <w:r w:rsidRPr="00CB12C4">
        <w:rPr>
          <w:b/>
          <w:noProof/>
          <w:lang w:val="sr-Latn-RS"/>
        </w:rPr>
        <w:t>Плурализам тржишта</w:t>
      </w:r>
    </w:p>
    <w:p w:rsidR="001B57DA" w:rsidRPr="00CB12C4" w:rsidRDefault="001B57DA" w:rsidP="001B57DA">
      <w:pPr>
        <w:jc w:val="both"/>
        <w:rPr>
          <w:color w:val="000000"/>
        </w:rPr>
      </w:pPr>
    </w:p>
    <w:p w:rsidR="001B57DA" w:rsidRPr="00CB12C4" w:rsidRDefault="001B57DA" w:rsidP="001B57DA">
      <w:pPr>
        <w:jc w:val="both"/>
        <w:rPr>
          <w:color w:val="000000"/>
        </w:rPr>
      </w:pPr>
      <w:r w:rsidRPr="00CB12C4">
        <w:rPr>
          <w:noProof/>
          <w:color w:val="000000"/>
        </w:rPr>
        <w:drawing>
          <wp:inline distT="0" distB="0" distL="0" distR="0" wp14:anchorId="2E355CA8" wp14:editId="503076FE">
            <wp:extent cx="5715000" cy="303276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3032760"/>
                    </a:xfrm>
                    <a:prstGeom prst="rect">
                      <a:avLst/>
                    </a:prstGeom>
                    <a:noFill/>
                    <a:ln>
                      <a:noFill/>
                    </a:ln>
                  </pic:spPr>
                </pic:pic>
              </a:graphicData>
            </a:graphic>
          </wp:inline>
        </w:drawing>
      </w:r>
    </w:p>
    <w:p w:rsidR="001B57DA" w:rsidRPr="00CB12C4" w:rsidRDefault="001B57DA" w:rsidP="001B57DA">
      <w:pPr>
        <w:jc w:val="both"/>
        <w:rPr>
          <w:noProof/>
          <w:lang w:val="sr-Cyrl-RS"/>
        </w:rPr>
      </w:pPr>
      <w:r w:rsidRPr="00CB12C4">
        <w:rPr>
          <w:i/>
          <w:noProof/>
          <w:lang w:val="sr-Cyrl-RS"/>
        </w:rPr>
        <w:t>Извор:</w:t>
      </w:r>
      <w:r w:rsidRPr="00CB12C4">
        <w:rPr>
          <w:noProof/>
          <w:lang w:val="sr-Cyrl-RS"/>
        </w:rPr>
        <w:t xml:space="preserve"> Мониторинг медијског плурализма у дигиталној ери: примена мониторинга медијског плурализма у Европској Унији, Албанији, Црној Гори, Републици Северној Македонији, Србији и Турској у 2020. години - Извештај о земљи: Србија, Институт за европске студије Београд</w:t>
      </w:r>
    </w:p>
    <w:p w:rsidR="001B57DA" w:rsidRPr="00CB12C4" w:rsidRDefault="001B57DA" w:rsidP="001B57DA">
      <w:pPr>
        <w:ind w:firstLine="720"/>
        <w:jc w:val="both"/>
        <w:rPr>
          <w:color w:val="000000"/>
        </w:rPr>
      </w:pPr>
    </w:p>
    <w:p w:rsidR="001B57DA" w:rsidRPr="00CB12C4" w:rsidRDefault="001B57DA" w:rsidP="001B57DA">
      <w:pPr>
        <w:ind w:firstLine="720"/>
        <w:jc w:val="both"/>
      </w:pPr>
      <w:r w:rsidRPr="00CB12C4">
        <w:rPr>
          <w:color w:val="000000"/>
        </w:rPr>
        <w:t>У Републици Србији су заступљени разноврсни модели информисања на језицима националних мањина у које спадају: програми јавних медијских сервиса, емисије, односно чланци у приватним медијима, укључујући и медије цивилног друштва, програмски садржаји медија чијим издавачима су оснивачи национални савети, као и употреба интернета, приступ медијима матичне земље итд. Међутим, упркос томе што је доношењем медијских закона ојачан успостављени правни оквир који се односи на информисање припадника националних мањина, у пракси су уочени одређени проблеми како нормативне, тако и практичне природе који указују на то да недостаје свеобухватан и кохерентан приступ у обезбеђивању информисања на језицима националних мањина.</w:t>
      </w:r>
    </w:p>
    <w:p w:rsidR="001B57DA" w:rsidRPr="00CB12C4" w:rsidRDefault="001B57DA" w:rsidP="001B57DA">
      <w:pPr>
        <w:ind w:firstLine="720"/>
        <w:jc w:val="both"/>
      </w:pPr>
      <w:r w:rsidRPr="00CB12C4">
        <w:rPr>
          <w:color w:val="000000"/>
        </w:rPr>
        <w:t xml:space="preserve">Национални савети националних мањина, као тела изабраних представника националних мањина, преко којих припадници мањина остварују своја колективна права, имају значајна овлашћења у сегменту остваривања јавног интереса у области јавног информисања. Иако се финансирају из јавних средстава, ова тела могу да буду оснивачи издавача медија, овлашћени су предлагачи чланова Савета РЕМ-а, дају мишљења о кандидатима за одговорног уредника програма на језику националне мањине у јавним медијским сервисима, као и мишљење на пројекте који се прилажу на конкурс који се расписује ради подизања квалитета информисања припадника националних мањина, а која нису обавезујућа. Упркос важности које имају у области информисања, делатност националних савета је само један вид остваривања јавног интереса припадника националних мањина да буду информисани на свом језику и мањинска медијска сцена не сме да буде сведена искључиво на њихову активност. У вези са улогом националних савета, постоји одређена забринутост по питању њиховог утицаја на плурализам и уређивачку независност медија. С обзиром на то да се медији, </w:t>
      </w:r>
      <w:r w:rsidRPr="00CB12C4">
        <w:rPr>
          <w:color w:val="000000"/>
        </w:rPr>
        <w:lastRenderedPageBreak/>
        <w:t>чијим су издавачима оснивачи национални савети националних мањина, финансирају из јавних средстава, потребно је уредити начин њиховог функционисања у складу са потребом остваривања јавног интереса. Поред тога, према члану 16. Закона о јавном информисању и медијима, акт о оснивању установе, привредног друштва односно фондације чији су оснивачи национални савети посебно уређује начин избора и именовања органа управљања, а када је установа, привредно друштво односно фондација издавач медија, и одговорног уредника медија, на начин којим се обезбеђује уређивачка независност медија. Национални савети су, дакле, у обавези да бирају управне одборе медијских установа, постављају директоре и главне уреднике на начин којим се обезбеђује уређивачка независност медија. Додатно, велики проблем представља осигурање финансијске одрживости медија који производе садржај на језицима националних мањина, као и неадекватно остваривање обавезе информисања на језицима националних мањина од стране јавног медијског сервиса на националном нивоу.</w:t>
      </w:r>
    </w:p>
    <w:p w:rsidR="001B57DA" w:rsidRPr="00CB12C4" w:rsidRDefault="001B57DA" w:rsidP="001B57DA">
      <w:pPr>
        <w:ind w:firstLine="720"/>
        <w:jc w:val="both"/>
        <w:rPr>
          <w:color w:val="000000"/>
        </w:rPr>
      </w:pPr>
      <w:r w:rsidRPr="00CB12C4">
        <w:rPr>
          <w:color w:val="000000"/>
        </w:rPr>
        <w:t>Као кључни проблем у области информисања особа са инвалидитетом је препознато то што у јавности нема довољне заступљености особа са инвалидитетом. Такође, велики проблем је у томе што не постоје новинари и новинарке који су специјализовани за извештавање за потребе особа са инвалидитетом. У том смислу је непходно борити се против стереотипа у извештавању о особама са инвалидитетом и њиховим потребама. Те потребе нису посебне већ су исте и само се задовољавају на другачији начин. Поред наведеног, уочено је непоштовање медијских обавеза о недискриминаторном, односно, инклузивном извештавању (ограничени ресурси су вероватно разлог томе), као и непоштовање прописа и препоруке регулаторних тела из области равноправности грађана.</w:t>
      </w:r>
    </w:p>
    <w:p w:rsidR="001B57DA" w:rsidRPr="00CB12C4" w:rsidRDefault="001B57DA" w:rsidP="001B57DA">
      <w:pPr>
        <w:ind w:firstLine="720"/>
        <w:jc w:val="both"/>
        <w:rPr>
          <w:color w:val="000000"/>
        </w:rPr>
      </w:pPr>
    </w:p>
    <w:p w:rsidR="001B57DA" w:rsidRPr="00CB12C4" w:rsidRDefault="001B57DA" w:rsidP="001B57DA">
      <w:pPr>
        <w:ind w:firstLine="720"/>
        <w:jc w:val="both"/>
        <w:rPr>
          <w:lang w:val="sr-Cyrl-RS"/>
        </w:rPr>
      </w:pPr>
      <w:r w:rsidRPr="00CB12C4">
        <w:rPr>
          <w:lang w:val="sr-Cyrl-RS"/>
        </w:rPr>
        <w:t xml:space="preserve">Поступак суфинансирања медија оснажен је увођењем у законске одредбе </w:t>
      </w:r>
      <w:r w:rsidRPr="00CB12C4">
        <w:t>саморегулаторног тела Савета за штампу</w:t>
      </w:r>
      <w:r w:rsidRPr="00CB12C4">
        <w:rPr>
          <w:lang w:val="sr-Cyrl-RS"/>
        </w:rPr>
        <w:t xml:space="preserve">, који прати примену етичког кодекса и доноси акте у случају кршења </w:t>
      </w:r>
      <w:r w:rsidRPr="00CB12C4">
        <w:rPr>
          <w:bCs/>
          <w:lang w:val="sr-Cyrl-RS"/>
        </w:rPr>
        <w:t>стандарда професионалне етике.</w:t>
      </w:r>
    </w:p>
    <w:p w:rsidR="001B57DA" w:rsidRPr="00CB12C4" w:rsidRDefault="001B57DA" w:rsidP="001B57DA">
      <w:pPr>
        <w:jc w:val="both"/>
        <w:rPr>
          <w:lang w:val="ru-RU"/>
        </w:rPr>
      </w:pPr>
    </w:p>
    <w:p w:rsidR="001B57DA" w:rsidRPr="00CB12C4" w:rsidRDefault="001B57DA" w:rsidP="001B57DA">
      <w:pPr>
        <w:ind w:firstLine="720"/>
        <w:jc w:val="both"/>
        <w:rPr>
          <w:lang w:val="ru-RU"/>
        </w:rPr>
      </w:pPr>
      <w:r w:rsidRPr="00CB12C4">
        <w:rPr>
          <w:lang w:val="ru-RU"/>
        </w:rPr>
        <w:t>Министарство телекомуникација и информисања, као министарство надлежно за послове јавног информисања, је регулатор у овој области, доноси подзаконске прописе, успоставља и води Јединствени информациони систем за спровођење и праћење суфинансирања пројеката у области јавног информисања, врши надзор над спровођењем овог закона (управни наздор) и, у оквиру њега, инспекцијски надзор над применом овог закона и прописа донетих на основу овог закона.</w:t>
      </w:r>
    </w:p>
    <w:p w:rsidR="001B57DA" w:rsidRPr="00CB12C4" w:rsidRDefault="001B57DA" w:rsidP="001B57DA">
      <w:pPr>
        <w:ind w:firstLine="720"/>
        <w:jc w:val="both"/>
        <w:rPr>
          <w:lang w:val="ru-RU"/>
        </w:rPr>
      </w:pPr>
    </w:p>
    <w:p w:rsidR="001B57DA" w:rsidRPr="00CB12C4" w:rsidRDefault="001B57DA" w:rsidP="001B57DA">
      <w:pPr>
        <w:ind w:firstLine="720"/>
        <w:jc w:val="both"/>
        <w:rPr>
          <w:lang w:val="ru-RU"/>
        </w:rPr>
      </w:pPr>
      <w:r w:rsidRPr="00CB12C4">
        <w:rPr>
          <w:lang w:val="ru-RU"/>
        </w:rPr>
        <w:t>Министарство привреде надлежно је за поступке приватизације издавача који су започети до дана ступања на снагу овог закона, у складу са Законом о министарствима и Законом о приватизацији.</w:t>
      </w:r>
    </w:p>
    <w:p w:rsidR="001B57DA" w:rsidRPr="00CB12C4" w:rsidRDefault="001B57DA" w:rsidP="001B57DA">
      <w:pPr>
        <w:ind w:firstLine="720"/>
        <w:jc w:val="both"/>
        <w:rPr>
          <w:lang w:val="ru-RU"/>
        </w:rPr>
      </w:pPr>
    </w:p>
    <w:p w:rsidR="001B57DA" w:rsidRPr="00CB12C4" w:rsidRDefault="001B57DA" w:rsidP="001B57DA">
      <w:pPr>
        <w:ind w:firstLine="720"/>
        <w:jc w:val="both"/>
        <w:rPr>
          <w:lang w:val="ru-RU"/>
        </w:rPr>
      </w:pPr>
      <w:r w:rsidRPr="00CB12C4">
        <w:rPr>
          <w:lang w:val="ru-RU"/>
        </w:rPr>
        <w:t xml:space="preserve">Канцеларија за информационе технологије и електронску управу, као орган државне управе – посебна организација надлежна за пројектовање, изградњу, повезивање, развој и одржавање ресурса информационо-комуникационих технологија и инфраструктуре потребних за пружање услуга електронске управе, пружа стручно-техничку подршку Миистарству телекомуникација и информисања у изради, успостављању и одржавању </w:t>
      </w:r>
      <w:r w:rsidRPr="00CB12C4">
        <w:t>Јединственог информацион</w:t>
      </w:r>
      <w:r w:rsidRPr="00CB12C4">
        <w:rPr>
          <w:lang w:val="sr-Cyrl-RS"/>
        </w:rPr>
        <w:t>ог</w:t>
      </w:r>
      <w:r w:rsidRPr="00CB12C4">
        <w:t xml:space="preserve"> систем</w:t>
      </w:r>
      <w:r w:rsidRPr="00CB12C4">
        <w:rPr>
          <w:lang w:val="sr-Cyrl-RS"/>
        </w:rPr>
        <w:t>а</w:t>
      </w:r>
      <w:r w:rsidRPr="00CB12C4">
        <w:t xml:space="preserve"> за спровођење и праћење суфинансирања </w:t>
      </w:r>
      <w:r w:rsidRPr="00CB12C4">
        <w:lastRenderedPageBreak/>
        <w:t>пројеката у области јавног информисања</w:t>
      </w:r>
      <w:r w:rsidRPr="00CB12C4">
        <w:rPr>
          <w:lang w:val="ru-RU"/>
        </w:rPr>
        <w:t xml:space="preserve">, као и подршку у примени наведених технологија. </w:t>
      </w:r>
      <w:r w:rsidRPr="00CB12C4">
        <w:rPr>
          <w:lang w:val="sr-Latn-RS"/>
        </w:rPr>
        <w:t>П</w:t>
      </w:r>
      <w:r w:rsidRPr="00CB12C4">
        <w:rPr>
          <w:lang w:val="ru-RU"/>
        </w:rPr>
        <w:t xml:space="preserve">оступак пројектног суфинансирања спроводиће се искључиво путем овог информационог система након његовог успостављања. </w:t>
      </w:r>
      <w:r w:rsidRPr="00CB12C4">
        <w:t>Јединствени информациони систем за спровођење и праћење суфинансирања пројеката у области јавног информисања</w:t>
      </w:r>
      <w:r w:rsidRPr="00CB12C4">
        <w:rPr>
          <w:lang w:val="ru-RU"/>
        </w:rPr>
        <w:t xml:space="preserve"> је платформа која </w:t>
      </w:r>
      <w:r w:rsidRPr="00CB12C4">
        <w:rPr>
          <w:lang w:val="sr-Latn-RS"/>
        </w:rPr>
        <w:t>ће</w:t>
      </w:r>
      <w:r w:rsidRPr="00CB12C4">
        <w:rPr>
          <w:lang w:val="ru-RU"/>
        </w:rPr>
        <w:t xml:space="preserve"> да </w:t>
      </w:r>
      <w:r w:rsidRPr="00CB12C4">
        <w:rPr>
          <w:lang w:val="sr-Latn-RS"/>
        </w:rPr>
        <w:t xml:space="preserve">обједини релевантне информације и </w:t>
      </w:r>
      <w:r w:rsidRPr="00CB12C4">
        <w:rPr>
          <w:lang w:val="ru-RU"/>
        </w:rPr>
        <w:t xml:space="preserve">омогући транспарентност </w:t>
      </w:r>
      <w:r w:rsidRPr="00CB12C4">
        <w:rPr>
          <w:lang w:val="sr-Latn-RS"/>
        </w:rPr>
        <w:t>процеса суфинансирања, увид у сваку фазу овог поступка, са праћењем података о медијима ко</w:t>
      </w:r>
      <w:r w:rsidRPr="00CB12C4">
        <w:rPr>
          <w:lang w:val="ru-RU"/>
        </w:rPr>
        <w:t xml:space="preserve">ји учествују на конкурсима, колика средства </w:t>
      </w:r>
      <w:r w:rsidRPr="00CB12C4">
        <w:rPr>
          <w:lang w:val="sr-Latn-RS"/>
        </w:rPr>
        <w:t xml:space="preserve">су опредељена и додељена </w:t>
      </w:r>
      <w:r w:rsidRPr="00CB12C4">
        <w:rPr>
          <w:lang w:val="ru-RU"/>
        </w:rPr>
        <w:t>за које пројекте</w:t>
      </w:r>
      <w:r w:rsidRPr="00CB12C4">
        <w:rPr>
          <w:lang w:val="sr-Latn-RS"/>
        </w:rPr>
        <w:t xml:space="preserve"> и других релевантних елемената</w:t>
      </w:r>
      <w:r w:rsidRPr="00CB12C4">
        <w:rPr>
          <w:lang w:val="ru-RU"/>
        </w:rPr>
        <w:t xml:space="preserve">. </w:t>
      </w:r>
    </w:p>
    <w:p w:rsidR="001B57DA" w:rsidRPr="00CB12C4" w:rsidRDefault="001B57DA" w:rsidP="001B57DA">
      <w:pPr>
        <w:ind w:firstLine="720"/>
        <w:jc w:val="both"/>
        <w:rPr>
          <w:lang w:val="ru-RU"/>
        </w:rPr>
      </w:pPr>
    </w:p>
    <w:p w:rsidR="001B57DA" w:rsidRPr="00CB12C4" w:rsidRDefault="001B57DA" w:rsidP="001B57DA">
      <w:pPr>
        <w:ind w:firstLine="720"/>
        <w:jc w:val="both"/>
        <w:rPr>
          <w:lang w:val="sr-Cyrl-CS" w:eastAsia="sr-Cyrl-RS"/>
        </w:rPr>
      </w:pPr>
      <w:r w:rsidRPr="00CB12C4">
        <w:rPr>
          <w:lang w:val="ru-RU"/>
        </w:rPr>
        <w:t xml:space="preserve">Нацрт закона предвиђа посебна правила у погледу судске заштите права на одговор на информацију и исправку информације, као и у погледу других облика судске заштите. Предвиђена су и правила која се односе на </w:t>
      </w:r>
      <w:r w:rsidRPr="00CB12C4">
        <w:rPr>
          <w:lang w:val="sr-Cyrl-CS" w:eastAsia="sr-Cyrl-RS"/>
        </w:rPr>
        <w:t>правну заштиту интереса лица о коме је раније била објављена информација да је против њега покренут кривични поступак, као и право на накнаду материјалне и нематеријалне штете лицу на које се односи информација чије је објављивање забрањено, независно од других средстава правне заштите која му стоје на располагању.</w:t>
      </w:r>
    </w:p>
    <w:p w:rsidR="001B57DA" w:rsidRPr="00CB12C4" w:rsidRDefault="001B57DA" w:rsidP="001B57DA">
      <w:pPr>
        <w:ind w:firstLine="720"/>
        <w:jc w:val="both"/>
        <w:rPr>
          <w:lang w:val="sr-Cyrl-CS" w:eastAsia="sr-Cyrl-RS"/>
        </w:rPr>
      </w:pPr>
    </w:p>
    <w:p w:rsidR="001B57DA" w:rsidRPr="00CB12C4" w:rsidRDefault="001B57DA" w:rsidP="001B57DA">
      <w:pPr>
        <w:ind w:firstLine="720"/>
        <w:jc w:val="both"/>
        <w:rPr>
          <w:lang w:val="ru-RU"/>
        </w:rPr>
      </w:pPr>
      <w:r w:rsidRPr="00CB12C4">
        <w:rPr>
          <w:lang w:val="ru-RU"/>
        </w:rPr>
        <w:t>За примену овог закона средства ће бити обезбеђена у буџетима органа јавне власти које расписују конкурсе за суфинансирање пројеката у области јавног информисања и у складу са лимитима који се одређују за сваку буџетску годину.</w:t>
      </w:r>
    </w:p>
    <w:p w:rsidR="001B57DA" w:rsidRPr="00CB12C4" w:rsidRDefault="001B57DA" w:rsidP="001B57DA">
      <w:pPr>
        <w:ind w:firstLine="720"/>
        <w:jc w:val="both"/>
        <w:rPr>
          <w:lang w:val="ru-RU"/>
        </w:rPr>
      </w:pPr>
    </w:p>
    <w:p w:rsidR="001B57DA" w:rsidRPr="00CB12C4" w:rsidRDefault="001B57DA" w:rsidP="001B57DA">
      <w:pPr>
        <w:ind w:firstLine="720"/>
        <w:jc w:val="both"/>
        <w:rPr>
          <w:b/>
          <w:lang w:val="ru-RU"/>
        </w:rPr>
      </w:pPr>
      <w:r>
        <w:rPr>
          <w:b/>
          <w:lang w:val="ru-RU"/>
        </w:rPr>
        <w:t>Извод</w:t>
      </w:r>
      <w:r w:rsidRPr="00CB12C4">
        <w:rPr>
          <w:b/>
          <w:lang w:val="ru-RU"/>
        </w:rPr>
        <w:t xml:space="preserve"> из Закона о буџету Републике Србије за 2023. годину</w:t>
      </w:r>
    </w:p>
    <w:p w:rsidR="001B57DA" w:rsidRPr="00CB12C4" w:rsidRDefault="001B57DA" w:rsidP="001B57DA">
      <w:pPr>
        <w:jc w:val="both"/>
        <w:rPr>
          <w:lang w:val="ru-RU"/>
        </w:rPr>
      </w:pPr>
    </w:p>
    <w:tbl>
      <w:tblPr>
        <w:tblW w:w="10700" w:type="dxa"/>
        <w:tblLook w:val="04A0" w:firstRow="1" w:lastRow="0" w:firstColumn="1" w:lastColumn="0" w:noHBand="0" w:noVBand="1"/>
      </w:tblPr>
      <w:tblGrid>
        <w:gridCol w:w="714"/>
        <w:gridCol w:w="280"/>
        <w:gridCol w:w="439"/>
        <w:gridCol w:w="559"/>
        <w:gridCol w:w="159"/>
        <w:gridCol w:w="996"/>
        <w:gridCol w:w="994"/>
        <w:gridCol w:w="1958"/>
        <w:gridCol w:w="1440"/>
        <w:gridCol w:w="720"/>
        <w:gridCol w:w="245"/>
        <w:gridCol w:w="1236"/>
        <w:gridCol w:w="960"/>
      </w:tblGrid>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vAlign w:val="bottom"/>
            <w:hideMark/>
          </w:tcPr>
          <w:p w:rsidR="001B57DA" w:rsidRPr="002B0660" w:rsidRDefault="001B57DA" w:rsidP="00BF787F">
            <w:pPr>
              <w:jc w:val="center"/>
              <w:rPr>
                <w:b/>
                <w:bCs/>
                <w:color w:val="000000"/>
                <w:sz w:val="22"/>
                <w:szCs w:val="22"/>
              </w:rPr>
            </w:pPr>
            <w:r w:rsidRPr="002B0660">
              <w:rPr>
                <w:b/>
                <w:bCs/>
                <w:color w:val="000000"/>
                <w:sz w:val="22"/>
                <w:szCs w:val="22"/>
              </w:rPr>
              <w:t>1204</w:t>
            </w:r>
          </w:p>
        </w:tc>
        <w:tc>
          <w:tcPr>
            <w:tcW w:w="720" w:type="dxa"/>
            <w:gridSpan w:val="2"/>
            <w:tcBorders>
              <w:top w:val="nil"/>
              <w:left w:val="nil"/>
              <w:bottom w:val="nil"/>
              <w:right w:val="nil"/>
            </w:tcBorders>
            <w:shd w:val="clear" w:color="auto" w:fill="auto"/>
            <w:hideMark/>
          </w:tcPr>
          <w:p w:rsidR="001B57DA" w:rsidRPr="002B0660" w:rsidRDefault="001B57DA" w:rsidP="00BF787F">
            <w:pPr>
              <w:jc w:val="center"/>
              <w:rPr>
                <w:b/>
                <w:bCs/>
                <w:color w:val="000000"/>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4140" w:type="dxa"/>
            <w:gridSpan w:val="3"/>
            <w:tcBorders>
              <w:top w:val="nil"/>
              <w:left w:val="nil"/>
              <w:bottom w:val="single" w:sz="8" w:space="0" w:color="000000"/>
              <w:right w:val="nil"/>
            </w:tcBorders>
            <w:shd w:val="clear" w:color="auto" w:fill="auto"/>
            <w:hideMark/>
          </w:tcPr>
          <w:p w:rsidR="001B57DA" w:rsidRPr="002B0660" w:rsidRDefault="001B57DA" w:rsidP="00BF787F">
            <w:pPr>
              <w:rPr>
                <w:b/>
                <w:bCs/>
                <w:color w:val="000000"/>
                <w:sz w:val="22"/>
                <w:szCs w:val="22"/>
              </w:rPr>
            </w:pPr>
            <w:r w:rsidRPr="002B0660">
              <w:rPr>
                <w:b/>
                <w:bCs/>
                <w:color w:val="000000"/>
                <w:sz w:val="22"/>
                <w:szCs w:val="22"/>
              </w:rPr>
              <w:t>Систем јавног информисања</w:t>
            </w:r>
          </w:p>
        </w:tc>
        <w:tc>
          <w:tcPr>
            <w:tcW w:w="1440" w:type="dxa"/>
            <w:gridSpan w:val="2"/>
            <w:tcBorders>
              <w:top w:val="nil"/>
              <w:left w:val="nil"/>
              <w:bottom w:val="single" w:sz="8" w:space="0" w:color="000000"/>
              <w:right w:val="nil"/>
            </w:tcBorders>
            <w:shd w:val="clear" w:color="auto" w:fill="auto"/>
            <w:vAlign w:val="bottom"/>
            <w:hideMark/>
          </w:tcPr>
          <w:p w:rsidR="001B57DA" w:rsidRPr="002B0660" w:rsidRDefault="001B57DA" w:rsidP="00BF787F">
            <w:pPr>
              <w:jc w:val="right"/>
              <w:rPr>
                <w:b/>
                <w:bCs/>
                <w:color w:val="000000"/>
                <w:sz w:val="22"/>
                <w:szCs w:val="22"/>
              </w:rPr>
            </w:pPr>
            <w:r w:rsidRPr="002B0660">
              <w:rPr>
                <w:b/>
                <w:bCs/>
                <w:color w:val="000000"/>
                <w:sz w:val="22"/>
                <w:szCs w:val="22"/>
              </w:rPr>
              <w:t>1.450.498.000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b/>
                <w:bCs/>
                <w:color w:val="000000"/>
                <w:sz w:val="22"/>
                <w:szCs w:val="22"/>
              </w:rPr>
            </w:pPr>
          </w:p>
        </w:tc>
      </w:tr>
      <w:tr w:rsidR="001B57DA" w:rsidRPr="002B0660" w:rsidTr="00BF787F">
        <w:trPr>
          <w:trHeight w:val="42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vAlign w:val="center"/>
            <w:hideMark/>
          </w:tcPr>
          <w:p w:rsidR="001B57DA" w:rsidRPr="002B0660" w:rsidRDefault="001B57DA" w:rsidP="00BF787F">
            <w:pPr>
              <w:jc w:val="center"/>
              <w:rPr>
                <w:b/>
                <w:bCs/>
                <w:color w:val="000000"/>
                <w:sz w:val="22"/>
                <w:szCs w:val="22"/>
              </w:rPr>
            </w:pPr>
            <w:r w:rsidRPr="002B0660">
              <w:rPr>
                <w:b/>
                <w:bCs/>
                <w:color w:val="000000"/>
                <w:sz w:val="22"/>
                <w:szCs w:val="22"/>
              </w:rPr>
              <w:t>110</w:t>
            </w:r>
          </w:p>
        </w:tc>
        <w:tc>
          <w:tcPr>
            <w:tcW w:w="1000" w:type="dxa"/>
            <w:tcBorders>
              <w:top w:val="nil"/>
              <w:left w:val="nil"/>
              <w:bottom w:val="nil"/>
              <w:right w:val="nil"/>
            </w:tcBorders>
            <w:shd w:val="clear" w:color="auto" w:fill="auto"/>
            <w:hideMark/>
          </w:tcPr>
          <w:p w:rsidR="001B57DA" w:rsidRPr="002B0660" w:rsidRDefault="001B57DA" w:rsidP="00BF787F">
            <w:pPr>
              <w:jc w:val="center"/>
              <w:rPr>
                <w:b/>
                <w:bCs/>
                <w:color w:val="000000"/>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4140" w:type="dxa"/>
            <w:gridSpan w:val="3"/>
            <w:tcBorders>
              <w:top w:val="nil"/>
              <w:left w:val="nil"/>
              <w:bottom w:val="nil"/>
              <w:right w:val="nil"/>
            </w:tcBorders>
            <w:shd w:val="clear" w:color="auto" w:fill="auto"/>
            <w:hideMark/>
          </w:tcPr>
          <w:p w:rsidR="001B57DA" w:rsidRPr="002B0660" w:rsidRDefault="001B57DA" w:rsidP="00BF787F">
            <w:pPr>
              <w:rPr>
                <w:b/>
                <w:bCs/>
                <w:color w:val="000000"/>
                <w:sz w:val="22"/>
                <w:szCs w:val="22"/>
              </w:rPr>
            </w:pPr>
            <w:r w:rsidRPr="002B0660">
              <w:rPr>
                <w:b/>
                <w:bCs/>
                <w:color w:val="000000"/>
                <w:sz w:val="22"/>
                <w:szCs w:val="22"/>
              </w:rPr>
              <w:t>Извршни и законодавни органи, финансијски и фискални послови и спољни послови</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b/>
                <w:bCs/>
                <w:color w:val="000000"/>
                <w:sz w:val="22"/>
                <w:szCs w:val="22"/>
              </w:rPr>
            </w:pPr>
            <w:r w:rsidRPr="002B0660">
              <w:rPr>
                <w:b/>
                <w:bCs/>
                <w:color w:val="000000"/>
                <w:sz w:val="22"/>
                <w:szCs w:val="22"/>
              </w:rPr>
              <w:t>1.450.498.000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b/>
                <w:bCs/>
                <w:color w:val="000000"/>
                <w:sz w:val="22"/>
                <w:szCs w:val="22"/>
              </w:rPr>
            </w:pPr>
          </w:p>
        </w:tc>
      </w:tr>
      <w:tr w:rsidR="001B57DA" w:rsidRPr="002B0660" w:rsidTr="00BF787F">
        <w:trPr>
          <w:trHeight w:val="42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vAlign w:val="center"/>
            <w:hideMark/>
          </w:tcPr>
          <w:p w:rsidR="001B57DA" w:rsidRPr="002B0660" w:rsidRDefault="001B57DA" w:rsidP="00BF787F">
            <w:pPr>
              <w:jc w:val="center"/>
              <w:rPr>
                <w:color w:val="000000"/>
                <w:sz w:val="22"/>
                <w:szCs w:val="22"/>
              </w:rPr>
            </w:pPr>
            <w:r w:rsidRPr="002B0660">
              <w:rPr>
                <w:color w:val="000000"/>
                <w:sz w:val="22"/>
                <w:szCs w:val="22"/>
              </w:rPr>
              <w:t>0001</w:t>
            </w: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p>
        </w:tc>
        <w:tc>
          <w:tcPr>
            <w:tcW w:w="4140" w:type="dxa"/>
            <w:gridSpan w:val="3"/>
            <w:tcBorders>
              <w:top w:val="nil"/>
              <w:left w:val="nil"/>
              <w:bottom w:val="single" w:sz="4" w:space="0" w:color="000000"/>
              <w:right w:val="nil"/>
            </w:tcBorders>
            <w:shd w:val="clear" w:color="auto" w:fill="auto"/>
            <w:hideMark/>
          </w:tcPr>
          <w:p w:rsidR="001B57DA" w:rsidRPr="002B0660" w:rsidRDefault="001B57DA" w:rsidP="00BF787F">
            <w:pPr>
              <w:rPr>
                <w:b/>
                <w:bCs/>
                <w:color w:val="000000"/>
                <w:sz w:val="22"/>
                <w:szCs w:val="22"/>
              </w:rPr>
            </w:pPr>
            <w:r w:rsidRPr="002B0660">
              <w:rPr>
                <w:b/>
                <w:bCs/>
                <w:color w:val="000000"/>
                <w:sz w:val="22"/>
                <w:szCs w:val="22"/>
              </w:rPr>
              <w:t>Подршка остваривању јавног интереса у области информисања</w:t>
            </w:r>
          </w:p>
        </w:tc>
        <w:tc>
          <w:tcPr>
            <w:tcW w:w="1440" w:type="dxa"/>
            <w:gridSpan w:val="2"/>
            <w:tcBorders>
              <w:top w:val="nil"/>
              <w:left w:val="nil"/>
              <w:bottom w:val="single" w:sz="4" w:space="0" w:color="000000"/>
              <w:right w:val="nil"/>
            </w:tcBorders>
            <w:shd w:val="clear" w:color="auto" w:fill="auto"/>
            <w:hideMark/>
          </w:tcPr>
          <w:p w:rsidR="001B57DA" w:rsidRPr="002B0660" w:rsidRDefault="001B57DA" w:rsidP="00BF787F">
            <w:pPr>
              <w:jc w:val="right"/>
              <w:rPr>
                <w:b/>
                <w:bCs/>
                <w:color w:val="000000"/>
                <w:sz w:val="22"/>
                <w:szCs w:val="22"/>
              </w:rPr>
            </w:pPr>
            <w:r w:rsidRPr="002B0660">
              <w:rPr>
                <w:b/>
                <w:bCs/>
                <w:color w:val="000000"/>
                <w:sz w:val="22"/>
                <w:szCs w:val="22"/>
              </w:rPr>
              <w:t>233.200.000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b/>
                <w:bCs/>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423</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Услуге по уговору</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3.200.000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424</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Специјализоване услуге</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160.000.000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481</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Дотације невладиним организацијама</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70.000.000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42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vAlign w:val="center"/>
            <w:hideMark/>
          </w:tcPr>
          <w:p w:rsidR="001B57DA" w:rsidRPr="002B0660" w:rsidRDefault="001B57DA" w:rsidP="00BF787F">
            <w:pPr>
              <w:jc w:val="center"/>
              <w:rPr>
                <w:color w:val="000000"/>
                <w:sz w:val="22"/>
                <w:szCs w:val="22"/>
              </w:rPr>
            </w:pPr>
            <w:r w:rsidRPr="002B0660">
              <w:rPr>
                <w:color w:val="000000"/>
                <w:sz w:val="22"/>
                <w:szCs w:val="22"/>
              </w:rPr>
              <w:t>0003</w:t>
            </w: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p>
        </w:tc>
        <w:tc>
          <w:tcPr>
            <w:tcW w:w="4140" w:type="dxa"/>
            <w:gridSpan w:val="3"/>
            <w:tcBorders>
              <w:top w:val="nil"/>
              <w:left w:val="nil"/>
              <w:bottom w:val="single" w:sz="4" w:space="0" w:color="000000"/>
              <w:right w:val="nil"/>
            </w:tcBorders>
            <w:shd w:val="clear" w:color="auto" w:fill="auto"/>
            <w:hideMark/>
          </w:tcPr>
          <w:p w:rsidR="001B57DA" w:rsidRPr="002B0660" w:rsidRDefault="001B57DA" w:rsidP="00BF787F">
            <w:pPr>
              <w:rPr>
                <w:b/>
                <w:bCs/>
                <w:color w:val="000000"/>
                <w:sz w:val="22"/>
                <w:szCs w:val="22"/>
              </w:rPr>
            </w:pPr>
            <w:r w:rsidRPr="002B0660">
              <w:rPr>
                <w:b/>
                <w:bCs/>
                <w:color w:val="000000"/>
                <w:sz w:val="22"/>
                <w:szCs w:val="22"/>
              </w:rPr>
              <w:t>Подршка информисању грађана на територији АП Косово и Метохија на српском језику</w:t>
            </w:r>
          </w:p>
        </w:tc>
        <w:tc>
          <w:tcPr>
            <w:tcW w:w="1440" w:type="dxa"/>
            <w:gridSpan w:val="2"/>
            <w:tcBorders>
              <w:top w:val="nil"/>
              <w:left w:val="nil"/>
              <w:bottom w:val="single" w:sz="4" w:space="0" w:color="000000"/>
              <w:right w:val="nil"/>
            </w:tcBorders>
            <w:shd w:val="clear" w:color="auto" w:fill="auto"/>
            <w:hideMark/>
          </w:tcPr>
          <w:p w:rsidR="001B57DA" w:rsidRPr="002B0660" w:rsidRDefault="001B57DA" w:rsidP="00BF787F">
            <w:pPr>
              <w:jc w:val="right"/>
              <w:rPr>
                <w:b/>
                <w:bCs/>
                <w:color w:val="000000"/>
                <w:sz w:val="22"/>
                <w:szCs w:val="22"/>
              </w:rPr>
            </w:pPr>
            <w:r w:rsidRPr="002B0660">
              <w:rPr>
                <w:b/>
                <w:bCs/>
                <w:color w:val="000000"/>
                <w:sz w:val="22"/>
                <w:szCs w:val="22"/>
              </w:rPr>
              <w:t>10.280.000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b/>
                <w:bCs/>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423</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Услуге по уговору</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280.000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424</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Специјализоване услуге</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7.000.000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481</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Дотације невладиним организацијама</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3.000.000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42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vAlign w:val="center"/>
            <w:hideMark/>
          </w:tcPr>
          <w:p w:rsidR="001B57DA" w:rsidRPr="002B0660" w:rsidRDefault="001B57DA" w:rsidP="00BF787F">
            <w:pPr>
              <w:jc w:val="center"/>
              <w:rPr>
                <w:color w:val="000000"/>
                <w:sz w:val="22"/>
                <w:szCs w:val="22"/>
              </w:rPr>
            </w:pPr>
            <w:r w:rsidRPr="002B0660">
              <w:rPr>
                <w:color w:val="000000"/>
                <w:sz w:val="22"/>
                <w:szCs w:val="22"/>
              </w:rPr>
              <w:t>0005</w:t>
            </w: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p>
        </w:tc>
        <w:tc>
          <w:tcPr>
            <w:tcW w:w="4140" w:type="dxa"/>
            <w:gridSpan w:val="3"/>
            <w:tcBorders>
              <w:top w:val="nil"/>
              <w:left w:val="nil"/>
              <w:bottom w:val="single" w:sz="4" w:space="0" w:color="000000"/>
              <w:right w:val="nil"/>
            </w:tcBorders>
            <w:shd w:val="clear" w:color="auto" w:fill="auto"/>
            <w:hideMark/>
          </w:tcPr>
          <w:p w:rsidR="001B57DA" w:rsidRPr="002B0660" w:rsidRDefault="001B57DA" w:rsidP="00BF787F">
            <w:pPr>
              <w:rPr>
                <w:b/>
                <w:bCs/>
                <w:color w:val="000000"/>
                <w:sz w:val="22"/>
                <w:szCs w:val="22"/>
              </w:rPr>
            </w:pPr>
            <w:r w:rsidRPr="002B0660">
              <w:rPr>
                <w:b/>
                <w:bCs/>
                <w:color w:val="000000"/>
                <w:sz w:val="22"/>
                <w:szCs w:val="22"/>
              </w:rPr>
              <w:t>Подршка информисању припадника српског народа у земљама региона на српском језику</w:t>
            </w:r>
          </w:p>
        </w:tc>
        <w:tc>
          <w:tcPr>
            <w:tcW w:w="1440" w:type="dxa"/>
            <w:gridSpan w:val="2"/>
            <w:tcBorders>
              <w:top w:val="nil"/>
              <w:left w:val="nil"/>
              <w:bottom w:val="single" w:sz="4" w:space="0" w:color="000000"/>
              <w:right w:val="nil"/>
            </w:tcBorders>
            <w:shd w:val="clear" w:color="auto" w:fill="auto"/>
            <w:hideMark/>
          </w:tcPr>
          <w:p w:rsidR="001B57DA" w:rsidRPr="002B0660" w:rsidRDefault="001B57DA" w:rsidP="00BF787F">
            <w:pPr>
              <w:jc w:val="right"/>
              <w:rPr>
                <w:b/>
                <w:bCs/>
                <w:color w:val="000000"/>
                <w:sz w:val="22"/>
                <w:szCs w:val="22"/>
              </w:rPr>
            </w:pPr>
            <w:r w:rsidRPr="002B0660">
              <w:rPr>
                <w:b/>
                <w:bCs/>
                <w:color w:val="000000"/>
                <w:sz w:val="22"/>
                <w:szCs w:val="22"/>
              </w:rPr>
              <w:t>29.320.000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b/>
                <w:bCs/>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423</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Услуге по уговору</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320.000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424</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Специјализоване услуге</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29.000.000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42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vAlign w:val="center"/>
            <w:hideMark/>
          </w:tcPr>
          <w:p w:rsidR="001B57DA" w:rsidRPr="002B0660" w:rsidRDefault="001B57DA" w:rsidP="00BF787F">
            <w:pPr>
              <w:jc w:val="center"/>
              <w:rPr>
                <w:color w:val="000000"/>
                <w:sz w:val="22"/>
                <w:szCs w:val="22"/>
              </w:rPr>
            </w:pPr>
            <w:r w:rsidRPr="002B0660">
              <w:rPr>
                <w:color w:val="000000"/>
                <w:sz w:val="22"/>
                <w:szCs w:val="22"/>
              </w:rPr>
              <w:t>0006</w:t>
            </w: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p>
        </w:tc>
        <w:tc>
          <w:tcPr>
            <w:tcW w:w="4140" w:type="dxa"/>
            <w:gridSpan w:val="3"/>
            <w:tcBorders>
              <w:top w:val="nil"/>
              <w:left w:val="nil"/>
              <w:bottom w:val="single" w:sz="4" w:space="0" w:color="000000"/>
              <w:right w:val="nil"/>
            </w:tcBorders>
            <w:shd w:val="clear" w:color="auto" w:fill="auto"/>
            <w:hideMark/>
          </w:tcPr>
          <w:p w:rsidR="001B57DA" w:rsidRPr="002B0660" w:rsidRDefault="001B57DA" w:rsidP="00BF787F">
            <w:pPr>
              <w:rPr>
                <w:b/>
                <w:bCs/>
                <w:color w:val="000000"/>
                <w:sz w:val="22"/>
                <w:szCs w:val="22"/>
              </w:rPr>
            </w:pPr>
            <w:r w:rsidRPr="002B0660">
              <w:rPr>
                <w:b/>
                <w:bCs/>
                <w:color w:val="000000"/>
                <w:sz w:val="22"/>
                <w:szCs w:val="22"/>
              </w:rPr>
              <w:t>Подршка информисању националних мањина на сопственом језику</w:t>
            </w:r>
          </w:p>
        </w:tc>
        <w:tc>
          <w:tcPr>
            <w:tcW w:w="1440" w:type="dxa"/>
            <w:gridSpan w:val="2"/>
            <w:tcBorders>
              <w:top w:val="nil"/>
              <w:left w:val="nil"/>
              <w:bottom w:val="single" w:sz="4" w:space="0" w:color="000000"/>
              <w:right w:val="nil"/>
            </w:tcBorders>
            <w:shd w:val="clear" w:color="auto" w:fill="auto"/>
            <w:hideMark/>
          </w:tcPr>
          <w:p w:rsidR="001B57DA" w:rsidRPr="002B0660" w:rsidRDefault="001B57DA" w:rsidP="00BF787F">
            <w:pPr>
              <w:jc w:val="right"/>
              <w:rPr>
                <w:b/>
                <w:bCs/>
                <w:color w:val="000000"/>
                <w:sz w:val="22"/>
                <w:szCs w:val="22"/>
              </w:rPr>
            </w:pPr>
            <w:r w:rsidRPr="002B0660">
              <w:rPr>
                <w:b/>
                <w:bCs/>
                <w:color w:val="000000"/>
                <w:sz w:val="22"/>
                <w:szCs w:val="22"/>
              </w:rPr>
              <w:t>41.559.000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b/>
                <w:bCs/>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423</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Услуге по уговору</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559.000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424</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Специјализоване услуге</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29.000.000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481</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Дотације невладиним организацијама</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12.000.000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vAlign w:val="center"/>
            <w:hideMark/>
          </w:tcPr>
          <w:p w:rsidR="001B57DA" w:rsidRPr="002B0660" w:rsidRDefault="001B57DA" w:rsidP="00BF787F">
            <w:pPr>
              <w:jc w:val="center"/>
              <w:rPr>
                <w:color w:val="000000"/>
                <w:sz w:val="22"/>
                <w:szCs w:val="22"/>
              </w:rPr>
            </w:pPr>
            <w:r w:rsidRPr="002B0660">
              <w:rPr>
                <w:color w:val="000000"/>
                <w:sz w:val="22"/>
                <w:szCs w:val="22"/>
              </w:rPr>
              <w:t>0007</w:t>
            </w: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p>
        </w:tc>
        <w:tc>
          <w:tcPr>
            <w:tcW w:w="4140" w:type="dxa"/>
            <w:gridSpan w:val="3"/>
            <w:tcBorders>
              <w:top w:val="nil"/>
              <w:left w:val="nil"/>
              <w:bottom w:val="single" w:sz="4" w:space="0" w:color="000000"/>
              <w:right w:val="nil"/>
            </w:tcBorders>
            <w:shd w:val="clear" w:color="auto" w:fill="auto"/>
            <w:hideMark/>
          </w:tcPr>
          <w:p w:rsidR="001B57DA" w:rsidRPr="002B0660" w:rsidRDefault="001B57DA" w:rsidP="00BF787F">
            <w:pPr>
              <w:rPr>
                <w:b/>
                <w:bCs/>
                <w:color w:val="000000"/>
                <w:sz w:val="22"/>
                <w:szCs w:val="22"/>
              </w:rPr>
            </w:pPr>
            <w:r w:rsidRPr="002B0660">
              <w:rPr>
                <w:b/>
                <w:bCs/>
                <w:color w:val="000000"/>
                <w:sz w:val="22"/>
                <w:szCs w:val="22"/>
              </w:rPr>
              <w:t>Подршка информисању особа са инвалидитетом</w:t>
            </w:r>
          </w:p>
        </w:tc>
        <w:tc>
          <w:tcPr>
            <w:tcW w:w="1440" w:type="dxa"/>
            <w:gridSpan w:val="2"/>
            <w:tcBorders>
              <w:top w:val="nil"/>
              <w:left w:val="nil"/>
              <w:bottom w:val="single" w:sz="4" w:space="0" w:color="000000"/>
              <w:right w:val="nil"/>
            </w:tcBorders>
            <w:shd w:val="clear" w:color="auto" w:fill="auto"/>
            <w:hideMark/>
          </w:tcPr>
          <w:p w:rsidR="001B57DA" w:rsidRPr="002B0660" w:rsidRDefault="001B57DA" w:rsidP="00BF787F">
            <w:pPr>
              <w:jc w:val="right"/>
              <w:rPr>
                <w:b/>
                <w:bCs/>
                <w:color w:val="000000"/>
                <w:sz w:val="22"/>
                <w:szCs w:val="22"/>
              </w:rPr>
            </w:pPr>
            <w:r w:rsidRPr="002B0660">
              <w:rPr>
                <w:b/>
                <w:bCs/>
                <w:color w:val="000000"/>
                <w:sz w:val="22"/>
                <w:szCs w:val="22"/>
              </w:rPr>
              <w:t>15.460.000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b/>
                <w:bCs/>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423</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Услуге по уговору</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460.000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424</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Специјализоване услуге</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9.000.000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481</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Дотације невладиним организацијама</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6.000.000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42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vAlign w:val="center"/>
            <w:hideMark/>
          </w:tcPr>
          <w:p w:rsidR="001B57DA" w:rsidRPr="002B0660" w:rsidRDefault="001B57DA" w:rsidP="00BF787F">
            <w:pPr>
              <w:jc w:val="center"/>
              <w:rPr>
                <w:color w:val="000000"/>
                <w:sz w:val="22"/>
                <w:szCs w:val="22"/>
              </w:rPr>
            </w:pPr>
            <w:r w:rsidRPr="002B0660">
              <w:rPr>
                <w:color w:val="000000"/>
                <w:sz w:val="22"/>
                <w:szCs w:val="22"/>
              </w:rPr>
              <w:t>0008</w:t>
            </w: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p>
        </w:tc>
        <w:tc>
          <w:tcPr>
            <w:tcW w:w="4140" w:type="dxa"/>
            <w:gridSpan w:val="3"/>
            <w:tcBorders>
              <w:top w:val="nil"/>
              <w:left w:val="nil"/>
              <w:bottom w:val="single" w:sz="4" w:space="0" w:color="000000"/>
              <w:right w:val="nil"/>
            </w:tcBorders>
            <w:shd w:val="clear" w:color="auto" w:fill="auto"/>
            <w:hideMark/>
          </w:tcPr>
          <w:p w:rsidR="001B57DA" w:rsidRPr="002B0660" w:rsidRDefault="001B57DA" w:rsidP="00BF787F">
            <w:pPr>
              <w:rPr>
                <w:b/>
                <w:bCs/>
                <w:color w:val="000000"/>
                <w:sz w:val="22"/>
                <w:szCs w:val="22"/>
              </w:rPr>
            </w:pPr>
            <w:r w:rsidRPr="002B0660">
              <w:rPr>
                <w:b/>
                <w:bCs/>
                <w:color w:val="000000"/>
                <w:sz w:val="22"/>
                <w:szCs w:val="22"/>
              </w:rPr>
              <w:t>Подршка раду установе за новинско - издавачку делатност „Панорама”</w:t>
            </w:r>
          </w:p>
        </w:tc>
        <w:tc>
          <w:tcPr>
            <w:tcW w:w="1440" w:type="dxa"/>
            <w:gridSpan w:val="2"/>
            <w:tcBorders>
              <w:top w:val="nil"/>
              <w:left w:val="nil"/>
              <w:bottom w:val="single" w:sz="4" w:space="0" w:color="000000"/>
              <w:right w:val="nil"/>
            </w:tcBorders>
            <w:shd w:val="clear" w:color="auto" w:fill="auto"/>
            <w:hideMark/>
          </w:tcPr>
          <w:p w:rsidR="001B57DA" w:rsidRPr="002B0660" w:rsidRDefault="001B57DA" w:rsidP="00BF787F">
            <w:pPr>
              <w:jc w:val="right"/>
              <w:rPr>
                <w:b/>
                <w:bCs/>
                <w:color w:val="000000"/>
                <w:sz w:val="22"/>
                <w:szCs w:val="22"/>
              </w:rPr>
            </w:pPr>
            <w:r w:rsidRPr="002B0660">
              <w:rPr>
                <w:b/>
                <w:bCs/>
                <w:color w:val="000000"/>
                <w:sz w:val="22"/>
                <w:szCs w:val="22"/>
              </w:rPr>
              <w:t>55.131.000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b/>
                <w:bCs/>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411</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Плате, додаци и накнаде запослених (зараде)</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19.616.000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412</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Социјални доприноси на терет послодавца</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2.972.000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414</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Социјална давања запосленима</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444.000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415</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Накнаде трошкова за запослене</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200.000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416</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Награде запосленима и остали посебни расходи</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552.000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421</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Стални трошкови</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1.871.000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422</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Трошкови путовања</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2.245.000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423</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Услуге по уговору</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23.849.000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425</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Текуће поправке и одржавање</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440.000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426</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Материјал</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1.570.000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482</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Порези, обавезне таксе, казне, пенали и камате</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72.000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300"/>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483</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Новчане казне и пенали по решењу судова</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1.050.000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trHeight w:val="1058"/>
        </w:trPr>
        <w:tc>
          <w:tcPr>
            <w:tcW w:w="72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72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512</w:t>
            </w:r>
          </w:p>
        </w:tc>
        <w:tc>
          <w:tcPr>
            <w:tcW w:w="4140" w:type="dxa"/>
            <w:gridSpan w:val="3"/>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Машине и опрема</w:t>
            </w:r>
          </w:p>
        </w:tc>
        <w:tc>
          <w:tcPr>
            <w:tcW w:w="1440" w:type="dxa"/>
            <w:gridSpan w:val="2"/>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250.000</w:t>
            </w:r>
          </w:p>
        </w:tc>
        <w:tc>
          <w:tcPr>
            <w:tcW w:w="960" w:type="dxa"/>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gridAfter w:val="2"/>
          <w:wAfter w:w="2165" w:type="dxa"/>
          <w:trHeight w:val="420"/>
        </w:trPr>
        <w:tc>
          <w:tcPr>
            <w:tcW w:w="1000" w:type="dxa"/>
            <w:gridSpan w:val="2"/>
            <w:tcBorders>
              <w:top w:val="nil"/>
              <w:left w:val="nil"/>
              <w:bottom w:val="nil"/>
              <w:right w:val="nil"/>
            </w:tcBorders>
            <w:shd w:val="clear" w:color="auto" w:fill="auto"/>
            <w:vAlign w:val="center"/>
            <w:hideMark/>
          </w:tcPr>
          <w:p w:rsidR="001B57DA" w:rsidRPr="002B0660" w:rsidRDefault="001B57DA" w:rsidP="00BF787F">
            <w:pPr>
              <w:jc w:val="center"/>
              <w:rPr>
                <w:color w:val="000000"/>
                <w:sz w:val="22"/>
                <w:szCs w:val="22"/>
              </w:rPr>
            </w:pPr>
            <w:r w:rsidRPr="002B0660">
              <w:rPr>
                <w:color w:val="000000"/>
                <w:sz w:val="22"/>
                <w:szCs w:val="22"/>
              </w:rPr>
              <w:t>0012</w:t>
            </w:r>
          </w:p>
        </w:tc>
        <w:tc>
          <w:tcPr>
            <w:tcW w:w="1000" w:type="dxa"/>
            <w:gridSpan w:val="2"/>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p>
        </w:tc>
        <w:tc>
          <w:tcPr>
            <w:tcW w:w="4140" w:type="dxa"/>
            <w:gridSpan w:val="4"/>
            <w:tcBorders>
              <w:top w:val="nil"/>
              <w:left w:val="nil"/>
              <w:bottom w:val="single" w:sz="4" w:space="0" w:color="000000"/>
              <w:right w:val="nil"/>
            </w:tcBorders>
            <w:shd w:val="clear" w:color="auto" w:fill="auto"/>
            <w:hideMark/>
          </w:tcPr>
          <w:p w:rsidR="001B57DA" w:rsidRPr="002B0660" w:rsidRDefault="001B57DA" w:rsidP="00BF787F">
            <w:pPr>
              <w:rPr>
                <w:b/>
                <w:bCs/>
                <w:color w:val="000000"/>
                <w:sz w:val="22"/>
                <w:szCs w:val="22"/>
              </w:rPr>
            </w:pPr>
            <w:r w:rsidRPr="002B0660">
              <w:rPr>
                <w:b/>
                <w:bCs/>
                <w:color w:val="000000"/>
                <w:sz w:val="22"/>
                <w:szCs w:val="22"/>
              </w:rPr>
              <w:t>Развој система у области јавног информисања и надзор над спровођењем закона</w:t>
            </w:r>
          </w:p>
        </w:tc>
        <w:tc>
          <w:tcPr>
            <w:tcW w:w="1440" w:type="dxa"/>
            <w:tcBorders>
              <w:top w:val="nil"/>
              <w:left w:val="nil"/>
              <w:bottom w:val="single" w:sz="4" w:space="0" w:color="000000"/>
              <w:right w:val="nil"/>
            </w:tcBorders>
            <w:shd w:val="clear" w:color="auto" w:fill="auto"/>
            <w:hideMark/>
          </w:tcPr>
          <w:p w:rsidR="001B57DA" w:rsidRPr="002B0660" w:rsidRDefault="001B57DA" w:rsidP="00BF787F">
            <w:pPr>
              <w:jc w:val="right"/>
              <w:rPr>
                <w:b/>
                <w:bCs/>
                <w:color w:val="000000"/>
                <w:sz w:val="22"/>
                <w:szCs w:val="22"/>
              </w:rPr>
            </w:pPr>
            <w:r w:rsidRPr="002B0660">
              <w:rPr>
                <w:b/>
                <w:bCs/>
                <w:color w:val="000000"/>
                <w:sz w:val="22"/>
                <w:szCs w:val="22"/>
              </w:rPr>
              <w:t>25.548.000</w:t>
            </w:r>
          </w:p>
        </w:tc>
        <w:tc>
          <w:tcPr>
            <w:tcW w:w="955" w:type="dxa"/>
            <w:gridSpan w:val="2"/>
            <w:tcBorders>
              <w:top w:val="nil"/>
              <w:left w:val="nil"/>
              <w:bottom w:val="nil"/>
              <w:right w:val="nil"/>
            </w:tcBorders>
            <w:shd w:val="clear" w:color="auto" w:fill="auto"/>
            <w:noWrap/>
            <w:vAlign w:val="bottom"/>
            <w:hideMark/>
          </w:tcPr>
          <w:p w:rsidR="001B57DA" w:rsidRPr="002B0660" w:rsidRDefault="001B57DA" w:rsidP="00BF787F">
            <w:pPr>
              <w:rPr>
                <w:b/>
                <w:bCs/>
                <w:color w:val="000000"/>
                <w:sz w:val="22"/>
                <w:szCs w:val="22"/>
              </w:rPr>
            </w:pPr>
          </w:p>
        </w:tc>
      </w:tr>
      <w:tr w:rsidR="001B57DA" w:rsidRPr="002B0660" w:rsidTr="00BF787F">
        <w:trPr>
          <w:gridAfter w:val="2"/>
          <w:wAfter w:w="2165" w:type="dxa"/>
          <w:trHeight w:val="300"/>
        </w:trPr>
        <w:tc>
          <w:tcPr>
            <w:tcW w:w="100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gridSpan w:val="2"/>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411</w:t>
            </w:r>
          </w:p>
        </w:tc>
        <w:tc>
          <w:tcPr>
            <w:tcW w:w="4140" w:type="dxa"/>
            <w:gridSpan w:val="4"/>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Плате, додаци и накнаде запослених (зараде)</w:t>
            </w:r>
          </w:p>
        </w:tc>
        <w:tc>
          <w:tcPr>
            <w:tcW w:w="1440" w:type="dxa"/>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16.036.000</w:t>
            </w:r>
          </w:p>
        </w:tc>
        <w:tc>
          <w:tcPr>
            <w:tcW w:w="955" w:type="dxa"/>
            <w:gridSpan w:val="2"/>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gridAfter w:val="2"/>
          <w:wAfter w:w="2165" w:type="dxa"/>
          <w:trHeight w:val="300"/>
        </w:trPr>
        <w:tc>
          <w:tcPr>
            <w:tcW w:w="100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gridSpan w:val="2"/>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412</w:t>
            </w:r>
          </w:p>
        </w:tc>
        <w:tc>
          <w:tcPr>
            <w:tcW w:w="4140" w:type="dxa"/>
            <w:gridSpan w:val="4"/>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Социјални доприноси на терет послодавца</w:t>
            </w:r>
          </w:p>
        </w:tc>
        <w:tc>
          <w:tcPr>
            <w:tcW w:w="1440" w:type="dxa"/>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2.430.000</w:t>
            </w:r>
          </w:p>
        </w:tc>
        <w:tc>
          <w:tcPr>
            <w:tcW w:w="955" w:type="dxa"/>
            <w:gridSpan w:val="2"/>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gridAfter w:val="2"/>
          <w:wAfter w:w="2165" w:type="dxa"/>
          <w:trHeight w:val="300"/>
        </w:trPr>
        <w:tc>
          <w:tcPr>
            <w:tcW w:w="100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gridSpan w:val="2"/>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413</w:t>
            </w:r>
          </w:p>
        </w:tc>
        <w:tc>
          <w:tcPr>
            <w:tcW w:w="4140" w:type="dxa"/>
            <w:gridSpan w:val="4"/>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Накнаде у натури</w:t>
            </w:r>
          </w:p>
        </w:tc>
        <w:tc>
          <w:tcPr>
            <w:tcW w:w="1440" w:type="dxa"/>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50.000</w:t>
            </w:r>
          </w:p>
        </w:tc>
        <w:tc>
          <w:tcPr>
            <w:tcW w:w="955" w:type="dxa"/>
            <w:gridSpan w:val="2"/>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gridAfter w:val="2"/>
          <w:wAfter w:w="2165" w:type="dxa"/>
          <w:trHeight w:val="300"/>
        </w:trPr>
        <w:tc>
          <w:tcPr>
            <w:tcW w:w="100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gridSpan w:val="2"/>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414</w:t>
            </w:r>
          </w:p>
        </w:tc>
        <w:tc>
          <w:tcPr>
            <w:tcW w:w="4140" w:type="dxa"/>
            <w:gridSpan w:val="4"/>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Социјална давања запосленима</w:t>
            </w:r>
          </w:p>
        </w:tc>
        <w:tc>
          <w:tcPr>
            <w:tcW w:w="1440" w:type="dxa"/>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400.000</w:t>
            </w:r>
          </w:p>
        </w:tc>
        <w:tc>
          <w:tcPr>
            <w:tcW w:w="955" w:type="dxa"/>
            <w:gridSpan w:val="2"/>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gridAfter w:val="2"/>
          <w:wAfter w:w="2165" w:type="dxa"/>
          <w:trHeight w:val="300"/>
        </w:trPr>
        <w:tc>
          <w:tcPr>
            <w:tcW w:w="100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gridSpan w:val="2"/>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415</w:t>
            </w:r>
          </w:p>
        </w:tc>
        <w:tc>
          <w:tcPr>
            <w:tcW w:w="4140" w:type="dxa"/>
            <w:gridSpan w:val="4"/>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Накнаде трошкова за запослене</w:t>
            </w:r>
          </w:p>
        </w:tc>
        <w:tc>
          <w:tcPr>
            <w:tcW w:w="1440" w:type="dxa"/>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552.000</w:t>
            </w:r>
          </w:p>
        </w:tc>
        <w:tc>
          <w:tcPr>
            <w:tcW w:w="955" w:type="dxa"/>
            <w:gridSpan w:val="2"/>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gridAfter w:val="2"/>
          <w:wAfter w:w="2165" w:type="dxa"/>
          <w:trHeight w:val="300"/>
        </w:trPr>
        <w:tc>
          <w:tcPr>
            <w:tcW w:w="100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gridSpan w:val="2"/>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416</w:t>
            </w:r>
          </w:p>
        </w:tc>
        <w:tc>
          <w:tcPr>
            <w:tcW w:w="4140" w:type="dxa"/>
            <w:gridSpan w:val="4"/>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Награде запосленима и остали посебни расходи</w:t>
            </w:r>
          </w:p>
        </w:tc>
        <w:tc>
          <w:tcPr>
            <w:tcW w:w="1440" w:type="dxa"/>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80.000</w:t>
            </w:r>
          </w:p>
        </w:tc>
        <w:tc>
          <w:tcPr>
            <w:tcW w:w="955" w:type="dxa"/>
            <w:gridSpan w:val="2"/>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gridAfter w:val="2"/>
          <w:wAfter w:w="2165" w:type="dxa"/>
          <w:trHeight w:val="300"/>
        </w:trPr>
        <w:tc>
          <w:tcPr>
            <w:tcW w:w="100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gridSpan w:val="2"/>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422</w:t>
            </w:r>
          </w:p>
        </w:tc>
        <w:tc>
          <w:tcPr>
            <w:tcW w:w="4140" w:type="dxa"/>
            <w:gridSpan w:val="4"/>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Трошкови путовања</w:t>
            </w:r>
          </w:p>
        </w:tc>
        <w:tc>
          <w:tcPr>
            <w:tcW w:w="1440" w:type="dxa"/>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500.000</w:t>
            </w:r>
          </w:p>
        </w:tc>
        <w:tc>
          <w:tcPr>
            <w:tcW w:w="955" w:type="dxa"/>
            <w:gridSpan w:val="2"/>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gridAfter w:val="2"/>
          <w:wAfter w:w="2165" w:type="dxa"/>
          <w:trHeight w:val="300"/>
        </w:trPr>
        <w:tc>
          <w:tcPr>
            <w:tcW w:w="100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gridSpan w:val="2"/>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423</w:t>
            </w:r>
          </w:p>
        </w:tc>
        <w:tc>
          <w:tcPr>
            <w:tcW w:w="4140" w:type="dxa"/>
            <w:gridSpan w:val="4"/>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Услуге по уговору</w:t>
            </w:r>
          </w:p>
        </w:tc>
        <w:tc>
          <w:tcPr>
            <w:tcW w:w="1440" w:type="dxa"/>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4.000.000</w:t>
            </w:r>
          </w:p>
        </w:tc>
        <w:tc>
          <w:tcPr>
            <w:tcW w:w="955" w:type="dxa"/>
            <w:gridSpan w:val="2"/>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r w:rsidR="001B57DA" w:rsidRPr="002B0660" w:rsidTr="00BF787F">
        <w:trPr>
          <w:gridAfter w:val="2"/>
          <w:wAfter w:w="2165" w:type="dxa"/>
          <w:trHeight w:val="300"/>
        </w:trPr>
        <w:tc>
          <w:tcPr>
            <w:tcW w:w="1000" w:type="dxa"/>
            <w:gridSpan w:val="2"/>
            <w:tcBorders>
              <w:top w:val="nil"/>
              <w:left w:val="nil"/>
              <w:bottom w:val="nil"/>
              <w:right w:val="nil"/>
            </w:tcBorders>
            <w:shd w:val="clear" w:color="auto" w:fill="auto"/>
            <w:hideMark/>
          </w:tcPr>
          <w:p w:rsidR="001B57DA" w:rsidRPr="002B0660" w:rsidRDefault="001B57DA" w:rsidP="00BF787F">
            <w:pPr>
              <w:rPr>
                <w:sz w:val="22"/>
                <w:szCs w:val="22"/>
              </w:rPr>
            </w:pPr>
          </w:p>
        </w:tc>
        <w:tc>
          <w:tcPr>
            <w:tcW w:w="1000" w:type="dxa"/>
            <w:gridSpan w:val="2"/>
            <w:tcBorders>
              <w:top w:val="nil"/>
              <w:left w:val="nil"/>
              <w:bottom w:val="nil"/>
              <w:right w:val="nil"/>
            </w:tcBorders>
            <w:shd w:val="clear" w:color="auto" w:fill="auto"/>
            <w:hideMark/>
          </w:tcPr>
          <w:p w:rsidR="001B57DA" w:rsidRPr="002B0660" w:rsidRDefault="001B57DA" w:rsidP="00BF787F">
            <w:pPr>
              <w:jc w:val="center"/>
              <w:rPr>
                <w:color w:val="000000"/>
                <w:sz w:val="22"/>
                <w:szCs w:val="22"/>
              </w:rPr>
            </w:pPr>
            <w:r w:rsidRPr="002B0660">
              <w:rPr>
                <w:color w:val="000000"/>
                <w:sz w:val="22"/>
                <w:szCs w:val="22"/>
              </w:rPr>
              <w:t>512</w:t>
            </w:r>
          </w:p>
        </w:tc>
        <w:tc>
          <w:tcPr>
            <w:tcW w:w="4140" w:type="dxa"/>
            <w:gridSpan w:val="4"/>
            <w:tcBorders>
              <w:top w:val="nil"/>
              <w:left w:val="nil"/>
              <w:bottom w:val="nil"/>
              <w:right w:val="nil"/>
            </w:tcBorders>
            <w:shd w:val="clear" w:color="auto" w:fill="auto"/>
            <w:hideMark/>
          </w:tcPr>
          <w:p w:rsidR="001B57DA" w:rsidRPr="002B0660" w:rsidRDefault="001B57DA" w:rsidP="00BF787F">
            <w:pPr>
              <w:rPr>
                <w:color w:val="000000"/>
                <w:sz w:val="22"/>
                <w:szCs w:val="22"/>
              </w:rPr>
            </w:pPr>
            <w:r w:rsidRPr="002B0660">
              <w:rPr>
                <w:color w:val="000000"/>
                <w:sz w:val="22"/>
                <w:szCs w:val="22"/>
              </w:rPr>
              <w:t>Машине и опрема</w:t>
            </w:r>
          </w:p>
        </w:tc>
        <w:tc>
          <w:tcPr>
            <w:tcW w:w="1440" w:type="dxa"/>
            <w:tcBorders>
              <w:top w:val="nil"/>
              <w:left w:val="nil"/>
              <w:bottom w:val="nil"/>
              <w:right w:val="nil"/>
            </w:tcBorders>
            <w:shd w:val="clear" w:color="auto" w:fill="auto"/>
            <w:hideMark/>
          </w:tcPr>
          <w:p w:rsidR="001B57DA" w:rsidRPr="002B0660" w:rsidRDefault="001B57DA" w:rsidP="00BF787F">
            <w:pPr>
              <w:jc w:val="right"/>
              <w:rPr>
                <w:color w:val="000000"/>
                <w:sz w:val="22"/>
                <w:szCs w:val="22"/>
              </w:rPr>
            </w:pPr>
            <w:r w:rsidRPr="002B0660">
              <w:rPr>
                <w:color w:val="000000"/>
                <w:sz w:val="22"/>
                <w:szCs w:val="22"/>
              </w:rPr>
              <w:t>1.500.000</w:t>
            </w:r>
          </w:p>
        </w:tc>
        <w:tc>
          <w:tcPr>
            <w:tcW w:w="955" w:type="dxa"/>
            <w:gridSpan w:val="2"/>
            <w:tcBorders>
              <w:top w:val="nil"/>
              <w:left w:val="nil"/>
              <w:bottom w:val="nil"/>
              <w:right w:val="nil"/>
            </w:tcBorders>
            <w:shd w:val="clear" w:color="auto" w:fill="auto"/>
            <w:noWrap/>
            <w:vAlign w:val="bottom"/>
            <w:hideMark/>
          </w:tcPr>
          <w:p w:rsidR="001B57DA" w:rsidRPr="002B0660" w:rsidRDefault="001B57DA" w:rsidP="00BF787F">
            <w:pPr>
              <w:jc w:val="right"/>
              <w:rPr>
                <w:color w:val="000000"/>
                <w:sz w:val="22"/>
                <w:szCs w:val="22"/>
              </w:rPr>
            </w:pPr>
          </w:p>
        </w:tc>
      </w:tr>
    </w:tbl>
    <w:p w:rsidR="001B57DA" w:rsidRPr="00CB12C4" w:rsidRDefault="001B57DA" w:rsidP="001B57DA">
      <w:pPr>
        <w:jc w:val="center"/>
        <w:rPr>
          <w:noProof/>
        </w:rPr>
      </w:pPr>
    </w:p>
    <w:p w:rsidR="001B57DA" w:rsidRPr="00CB12C4" w:rsidRDefault="001B57DA" w:rsidP="001B57DA">
      <w:pPr>
        <w:rPr>
          <w:noProof/>
        </w:rPr>
      </w:pPr>
      <w:r w:rsidRPr="00CB12C4">
        <w:rPr>
          <w:noProof/>
          <w:lang w:val="sr-Cyrl-RS"/>
        </w:rPr>
        <w:t xml:space="preserve">    </w:t>
      </w:r>
    </w:p>
    <w:p w:rsidR="001B57DA" w:rsidRDefault="001B57DA" w:rsidP="001B57DA">
      <w:pPr>
        <w:jc w:val="center"/>
        <w:rPr>
          <w:b/>
          <w:lang w:val="ru-RU"/>
        </w:rPr>
      </w:pPr>
    </w:p>
    <w:p w:rsidR="001B57DA" w:rsidRDefault="001B57DA" w:rsidP="001B57DA">
      <w:pPr>
        <w:jc w:val="center"/>
        <w:rPr>
          <w:b/>
          <w:lang w:val="ru-RU"/>
        </w:rPr>
      </w:pPr>
    </w:p>
    <w:p w:rsidR="003B7BBF" w:rsidRDefault="003B7BBF" w:rsidP="001B57DA">
      <w:pPr>
        <w:jc w:val="center"/>
        <w:rPr>
          <w:b/>
          <w:lang w:val="ru-RU"/>
        </w:rPr>
      </w:pPr>
    </w:p>
    <w:p w:rsidR="003B7BBF" w:rsidRDefault="003B7BBF" w:rsidP="001B57DA">
      <w:pPr>
        <w:jc w:val="center"/>
        <w:rPr>
          <w:b/>
          <w:lang w:val="ru-RU"/>
        </w:rPr>
      </w:pPr>
    </w:p>
    <w:p w:rsidR="003B7BBF" w:rsidRDefault="003B7BBF" w:rsidP="001B57DA">
      <w:pPr>
        <w:jc w:val="center"/>
        <w:rPr>
          <w:b/>
          <w:lang w:val="ru-RU"/>
        </w:rPr>
      </w:pPr>
      <w:bookmarkStart w:id="0" w:name="_GoBack"/>
      <w:bookmarkEnd w:id="0"/>
    </w:p>
    <w:p w:rsidR="001B57DA" w:rsidRPr="00CB12C4" w:rsidRDefault="001B57DA" w:rsidP="001B57DA">
      <w:pPr>
        <w:jc w:val="center"/>
        <w:rPr>
          <w:b/>
          <w:lang w:val="ru-RU"/>
        </w:rPr>
      </w:pPr>
      <w:r w:rsidRPr="00CB12C4">
        <w:rPr>
          <w:b/>
          <w:lang w:val="ru-RU"/>
        </w:rPr>
        <w:lastRenderedPageBreak/>
        <w:t>Извод из Предлога закона о буџету Републике Србије за 2024. годину</w:t>
      </w:r>
    </w:p>
    <w:p w:rsidR="001B57DA" w:rsidRPr="00CB12C4" w:rsidRDefault="001B57DA" w:rsidP="001B57DA">
      <w:pPr>
        <w:jc w:val="both"/>
        <w:rPr>
          <w:lang w:val="ru-RU"/>
        </w:rPr>
      </w:pPr>
    </w:p>
    <w:p w:rsidR="001B57DA" w:rsidRPr="00CB12C4" w:rsidRDefault="001B57DA" w:rsidP="001B57DA">
      <w:pPr>
        <w:jc w:val="both"/>
        <w:rPr>
          <w:noProof/>
        </w:rPr>
      </w:pPr>
      <w:r w:rsidRPr="00952D90">
        <w:rPr>
          <w:noProof/>
        </w:rPr>
        <w:drawing>
          <wp:inline distT="0" distB="0" distL="0" distR="0" wp14:anchorId="6E51BF91" wp14:editId="512F20F3">
            <wp:extent cx="5715000" cy="418274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15000" cy="4182745"/>
                    </a:xfrm>
                    <a:prstGeom prst="rect">
                      <a:avLst/>
                    </a:prstGeom>
                  </pic:spPr>
                </pic:pic>
              </a:graphicData>
            </a:graphic>
          </wp:inline>
        </w:drawing>
      </w:r>
    </w:p>
    <w:p w:rsidR="001B57DA" w:rsidRPr="00CB12C4" w:rsidRDefault="001B57DA" w:rsidP="001B57DA">
      <w:pPr>
        <w:jc w:val="both"/>
        <w:rPr>
          <w:noProof/>
        </w:rPr>
      </w:pPr>
    </w:p>
    <w:p w:rsidR="001B57DA" w:rsidRPr="00CB12C4" w:rsidRDefault="001B57DA" w:rsidP="001B57DA">
      <w:pPr>
        <w:jc w:val="both"/>
        <w:rPr>
          <w:lang w:val="ru-RU"/>
        </w:rPr>
      </w:pPr>
      <w:r w:rsidRPr="00952D90">
        <w:rPr>
          <w:noProof/>
        </w:rPr>
        <w:drawing>
          <wp:inline distT="0" distB="0" distL="0" distR="0" wp14:anchorId="180FED1C" wp14:editId="3608150D">
            <wp:extent cx="5715000" cy="24726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15000" cy="2472690"/>
                    </a:xfrm>
                    <a:prstGeom prst="rect">
                      <a:avLst/>
                    </a:prstGeom>
                  </pic:spPr>
                </pic:pic>
              </a:graphicData>
            </a:graphic>
          </wp:inline>
        </w:drawing>
      </w:r>
    </w:p>
    <w:p w:rsidR="001B57DA" w:rsidRPr="00CB12C4" w:rsidRDefault="001B57DA" w:rsidP="001B57DA">
      <w:pPr>
        <w:jc w:val="both"/>
        <w:rPr>
          <w:lang w:val="ru-RU"/>
        </w:rPr>
      </w:pPr>
    </w:p>
    <w:p w:rsidR="001B57DA" w:rsidRDefault="001B57DA" w:rsidP="001B57DA">
      <w:pPr>
        <w:jc w:val="both"/>
        <w:rPr>
          <w:lang w:val="sr-Latn-RS"/>
        </w:rPr>
      </w:pPr>
      <w:r w:rsidRPr="00952D90">
        <w:rPr>
          <w:noProof/>
        </w:rPr>
        <w:drawing>
          <wp:inline distT="0" distB="0" distL="0" distR="0" wp14:anchorId="6F1C714E" wp14:editId="3133B885">
            <wp:extent cx="5715000" cy="14903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15000" cy="1490345"/>
                    </a:xfrm>
                    <a:prstGeom prst="rect">
                      <a:avLst/>
                    </a:prstGeom>
                  </pic:spPr>
                </pic:pic>
              </a:graphicData>
            </a:graphic>
          </wp:inline>
        </w:drawing>
      </w:r>
    </w:p>
    <w:p w:rsidR="001B57DA" w:rsidRDefault="001B57DA" w:rsidP="001B57DA">
      <w:pPr>
        <w:jc w:val="both"/>
        <w:rPr>
          <w:lang w:val="sr-Latn-RS"/>
        </w:rPr>
      </w:pPr>
    </w:p>
    <w:p w:rsidR="001B57DA" w:rsidRPr="00CB12C4" w:rsidRDefault="001B57DA" w:rsidP="001B57DA">
      <w:pPr>
        <w:jc w:val="both"/>
        <w:rPr>
          <w:lang w:val="sr-Latn-RS"/>
        </w:rPr>
      </w:pPr>
    </w:p>
    <w:p w:rsidR="001B57DA" w:rsidRDefault="001B57DA" w:rsidP="001B57DA">
      <w:pPr>
        <w:numPr>
          <w:ilvl w:val="0"/>
          <w:numId w:val="29"/>
        </w:numPr>
        <w:ind w:left="714" w:hanging="357"/>
        <w:rPr>
          <w:b/>
          <w:lang w:val="sr-Latn-RS"/>
        </w:rPr>
      </w:pPr>
      <w:r w:rsidRPr="00315BA1">
        <w:rPr>
          <w:b/>
          <w:lang w:val="sr-Latn-RS"/>
        </w:rPr>
        <w:t>Учешће заинтересованих страна</w:t>
      </w:r>
    </w:p>
    <w:p w:rsidR="001B57DA" w:rsidRDefault="001B57DA" w:rsidP="001B57DA">
      <w:pPr>
        <w:rPr>
          <w:b/>
          <w:lang w:val="sr-Latn-RS"/>
        </w:rPr>
      </w:pPr>
    </w:p>
    <w:p w:rsidR="001B57DA" w:rsidRDefault="001B57DA" w:rsidP="001B57DA">
      <w:pPr>
        <w:spacing w:after="150"/>
        <w:ind w:firstLine="714"/>
        <w:jc w:val="both"/>
        <w:rPr>
          <w:color w:val="000000"/>
          <w:lang w:val="sr-Cyrl-RS"/>
        </w:rPr>
      </w:pPr>
      <w:r>
        <w:rPr>
          <w:color w:val="000000"/>
          <w:lang w:val="sr-Cyrl-RS"/>
        </w:rPr>
        <w:t>Радна група за припрему овог нацрта закона је укљ</w:t>
      </w:r>
      <w:r w:rsidRPr="00A87299">
        <w:rPr>
          <w:color w:val="000000"/>
          <w:lang w:val="sr-Cyrl-RS"/>
        </w:rPr>
        <w:t xml:space="preserve">учивала представнике </w:t>
      </w:r>
      <w:r>
        <w:rPr>
          <w:color w:val="000000"/>
          <w:lang w:val="sr-Cyrl-RS"/>
        </w:rPr>
        <w:t>надлежних органа и ра</w:t>
      </w:r>
      <w:r w:rsidRPr="00A87299">
        <w:rPr>
          <w:color w:val="000000"/>
          <w:lang w:val="sr-Cyrl-RS"/>
        </w:rPr>
        <w:t>з</w:t>
      </w:r>
      <w:r>
        <w:rPr>
          <w:color w:val="000000"/>
          <w:lang w:val="sr-Cyrl-RS"/>
        </w:rPr>
        <w:t>личитих заинтересованих страна</w:t>
      </w:r>
      <w:r>
        <w:rPr>
          <w:color w:val="000000"/>
          <w:lang w:val="sr-Latn-RS"/>
        </w:rPr>
        <w:t xml:space="preserve">. </w:t>
      </w:r>
      <w:r>
        <w:rPr>
          <w:color w:val="000000"/>
          <w:lang w:val="sr-Cyrl-RS"/>
        </w:rPr>
        <w:t>Уз Министарство</w:t>
      </w:r>
      <w:r w:rsidRPr="005A738A">
        <w:rPr>
          <w:color w:val="000000"/>
          <w:lang w:val="sr-Cyrl-RS"/>
        </w:rPr>
        <w:t xml:space="preserve"> информисања и телекомуникација</w:t>
      </w:r>
      <w:r>
        <w:rPr>
          <w:color w:val="000000"/>
          <w:lang w:val="sr-Cyrl-RS"/>
        </w:rPr>
        <w:t>, Радну групу чинили су представници</w:t>
      </w:r>
      <w:r w:rsidRPr="005A738A">
        <w:rPr>
          <w:color w:val="000000"/>
          <w:lang w:val="sr-Cyrl-RS"/>
        </w:rPr>
        <w:t xml:space="preserve"> Републичког</w:t>
      </w:r>
      <w:r>
        <w:rPr>
          <w:color w:val="000000"/>
          <w:lang w:val="sr-Cyrl-RS"/>
        </w:rPr>
        <w:t xml:space="preserve"> секретаријата за законодавство, Министарства финансија, </w:t>
      </w:r>
      <w:r w:rsidRPr="005A738A">
        <w:rPr>
          <w:color w:val="000000"/>
          <w:lang w:val="sr-Cyrl-RS"/>
        </w:rPr>
        <w:t>Министарства држа</w:t>
      </w:r>
      <w:r>
        <w:rPr>
          <w:color w:val="000000"/>
          <w:lang w:val="sr-Cyrl-RS"/>
        </w:rPr>
        <w:t>вне управе и локалне самоуправе, Мин</w:t>
      </w:r>
      <w:r w:rsidRPr="005A738A">
        <w:rPr>
          <w:color w:val="000000"/>
          <w:lang w:val="sr-Cyrl-RS"/>
        </w:rPr>
        <w:t>истарства за људска и мањ</w:t>
      </w:r>
      <w:r>
        <w:rPr>
          <w:color w:val="000000"/>
          <w:lang w:val="sr-Cyrl-RS"/>
        </w:rPr>
        <w:t xml:space="preserve">инска права и друштвени дијалог, Агенције за привредне регистре, </w:t>
      </w:r>
      <w:r w:rsidRPr="005A738A">
        <w:rPr>
          <w:color w:val="000000"/>
          <w:lang w:val="sr-Cyrl-RS"/>
        </w:rPr>
        <w:t>Министарства за рад, запошљав</w:t>
      </w:r>
      <w:r>
        <w:rPr>
          <w:color w:val="000000"/>
          <w:lang w:val="sr-Cyrl-RS"/>
        </w:rPr>
        <w:t xml:space="preserve">ање, борачка и социјална питања, Министарства правде, </w:t>
      </w:r>
      <w:r w:rsidRPr="005A738A">
        <w:rPr>
          <w:color w:val="000000"/>
          <w:lang w:val="sr-Cyrl-RS"/>
        </w:rPr>
        <w:t>Канцеларије за информационе т</w:t>
      </w:r>
      <w:r>
        <w:rPr>
          <w:color w:val="000000"/>
          <w:lang w:val="sr-Cyrl-RS"/>
        </w:rPr>
        <w:t xml:space="preserve">ехнологије и електронске услуге, </w:t>
      </w:r>
      <w:r w:rsidRPr="005A738A">
        <w:rPr>
          <w:color w:val="000000"/>
          <w:lang w:val="sr-Cyrl-RS"/>
        </w:rPr>
        <w:t>Минист</w:t>
      </w:r>
      <w:r>
        <w:rPr>
          <w:color w:val="000000"/>
          <w:lang w:val="sr-Cyrl-RS"/>
        </w:rPr>
        <w:t xml:space="preserve">арства за европске интеграције, </w:t>
      </w:r>
      <w:r w:rsidRPr="005A738A">
        <w:rPr>
          <w:color w:val="000000"/>
          <w:lang w:val="sr-Cyrl-RS"/>
        </w:rPr>
        <w:t>Неза</w:t>
      </w:r>
      <w:r>
        <w:rPr>
          <w:color w:val="000000"/>
          <w:lang w:val="sr-Cyrl-RS"/>
        </w:rPr>
        <w:t xml:space="preserve">висног удружења новинара Србије, Удружења новинара Србије, </w:t>
      </w:r>
      <w:r w:rsidRPr="005A738A">
        <w:rPr>
          <w:color w:val="000000"/>
          <w:lang w:val="sr-Cyrl-RS"/>
        </w:rPr>
        <w:t>Независ</w:t>
      </w:r>
      <w:r>
        <w:rPr>
          <w:color w:val="000000"/>
          <w:lang w:val="sr-Cyrl-RS"/>
        </w:rPr>
        <w:t xml:space="preserve">ног удружења новинара Војводине, Асоцијације медија, Синдиката новинара Србије, Асоцијације онлајн медија, </w:t>
      </w:r>
      <w:r w:rsidRPr="005A738A">
        <w:rPr>
          <w:color w:val="000000"/>
          <w:lang w:val="sr-Cyrl-RS"/>
        </w:rPr>
        <w:t>П</w:t>
      </w:r>
      <w:r>
        <w:rPr>
          <w:color w:val="000000"/>
          <w:lang w:val="sr-Cyrl-RS"/>
        </w:rPr>
        <w:t xml:space="preserve">ословног удружења Локал прес, </w:t>
      </w:r>
      <w:r w:rsidRPr="005A738A">
        <w:rPr>
          <w:color w:val="000000"/>
          <w:lang w:val="sr-Cyrl-RS"/>
        </w:rPr>
        <w:t>Удружења РАБ Србије и Асоцијације независних електронских медија.</w:t>
      </w:r>
    </w:p>
    <w:p w:rsidR="001B57DA" w:rsidRDefault="001B57DA" w:rsidP="001B57DA">
      <w:pPr>
        <w:spacing w:after="150"/>
        <w:ind w:firstLine="714"/>
        <w:jc w:val="both"/>
        <w:rPr>
          <w:color w:val="000000"/>
          <w:lang w:val="sr-Cyrl-RS"/>
        </w:rPr>
      </w:pPr>
      <w:r>
        <w:rPr>
          <w:color w:val="000000"/>
          <w:lang w:val="sr-Cyrl-RS"/>
        </w:rPr>
        <w:t>У</w:t>
      </w:r>
      <w:r w:rsidRPr="00E47DE8">
        <w:rPr>
          <w:color w:val="000000"/>
          <w:lang w:val="sr-Cyrl-RS"/>
        </w:rPr>
        <w:t xml:space="preserve"> </w:t>
      </w:r>
      <w:r>
        <w:rPr>
          <w:color w:val="000000"/>
          <w:lang w:val="sr-Cyrl-RS"/>
        </w:rPr>
        <w:t>изради</w:t>
      </w:r>
      <w:r w:rsidRPr="00E47DE8">
        <w:rPr>
          <w:color w:val="000000"/>
          <w:lang w:val="sr-Cyrl-RS"/>
        </w:rPr>
        <w:t xml:space="preserve"> </w:t>
      </w:r>
      <w:r>
        <w:rPr>
          <w:color w:val="000000"/>
          <w:lang w:val="sr-Cyrl-RS"/>
        </w:rPr>
        <w:t>овог нацрта</w:t>
      </w:r>
      <w:r w:rsidRPr="00E47DE8">
        <w:rPr>
          <w:color w:val="000000"/>
          <w:lang w:val="sr-Cyrl-RS"/>
        </w:rPr>
        <w:t xml:space="preserve"> </w:t>
      </w:r>
      <w:r>
        <w:rPr>
          <w:color w:val="000000"/>
          <w:lang w:val="sr-Cyrl-RS"/>
        </w:rPr>
        <w:t>закона, поред</w:t>
      </w:r>
      <w:r w:rsidRPr="00E47DE8">
        <w:rPr>
          <w:color w:val="000000"/>
          <w:lang w:val="sr-Cyrl-RS"/>
        </w:rPr>
        <w:t xml:space="preserve"> </w:t>
      </w:r>
      <w:r>
        <w:rPr>
          <w:color w:val="000000"/>
          <w:lang w:val="sr-Cyrl-RS"/>
        </w:rPr>
        <w:t>представника</w:t>
      </w:r>
      <w:r w:rsidRPr="00E47DE8">
        <w:rPr>
          <w:color w:val="000000"/>
          <w:lang w:val="sr-Cyrl-RS"/>
        </w:rPr>
        <w:t xml:space="preserve"> </w:t>
      </w:r>
      <w:r>
        <w:rPr>
          <w:color w:val="000000"/>
          <w:lang w:val="sr-Cyrl-RS"/>
        </w:rPr>
        <w:t>државне</w:t>
      </w:r>
      <w:r w:rsidRPr="00E47DE8">
        <w:rPr>
          <w:color w:val="000000"/>
          <w:lang w:val="sr-Cyrl-RS"/>
        </w:rPr>
        <w:t xml:space="preserve"> </w:t>
      </w:r>
      <w:r>
        <w:rPr>
          <w:color w:val="000000"/>
          <w:lang w:val="sr-Cyrl-RS"/>
        </w:rPr>
        <w:t>управе</w:t>
      </w:r>
      <w:r w:rsidRPr="00E47DE8">
        <w:rPr>
          <w:color w:val="000000"/>
          <w:lang w:val="sr-Cyrl-RS"/>
        </w:rPr>
        <w:t xml:space="preserve">, </w:t>
      </w:r>
      <w:r>
        <w:rPr>
          <w:color w:val="000000"/>
          <w:lang w:val="sr-Cyrl-RS"/>
        </w:rPr>
        <w:t>велики</w:t>
      </w:r>
      <w:r w:rsidRPr="00E47DE8">
        <w:rPr>
          <w:color w:val="000000"/>
          <w:lang w:val="sr-Cyrl-RS"/>
        </w:rPr>
        <w:t xml:space="preserve"> </w:t>
      </w:r>
      <w:r>
        <w:rPr>
          <w:color w:val="000000"/>
          <w:lang w:val="sr-Cyrl-RS"/>
        </w:rPr>
        <w:t>допринос</w:t>
      </w:r>
      <w:r w:rsidRPr="00E47DE8">
        <w:rPr>
          <w:color w:val="000000"/>
          <w:lang w:val="sr-Cyrl-RS"/>
        </w:rPr>
        <w:t xml:space="preserve"> </w:t>
      </w:r>
      <w:r>
        <w:rPr>
          <w:color w:val="000000"/>
          <w:lang w:val="sr-Cyrl-RS"/>
        </w:rPr>
        <w:t>дала</w:t>
      </w:r>
      <w:r w:rsidRPr="00E47DE8">
        <w:rPr>
          <w:color w:val="000000"/>
          <w:lang w:val="sr-Cyrl-RS"/>
        </w:rPr>
        <w:t xml:space="preserve"> </w:t>
      </w:r>
      <w:r>
        <w:rPr>
          <w:color w:val="000000"/>
          <w:lang w:val="sr-Cyrl-RS"/>
        </w:rPr>
        <w:t>су</w:t>
      </w:r>
      <w:r w:rsidRPr="00E47DE8">
        <w:rPr>
          <w:color w:val="000000"/>
          <w:lang w:val="sr-Cyrl-RS"/>
        </w:rPr>
        <w:t xml:space="preserve"> </w:t>
      </w:r>
      <w:r>
        <w:rPr>
          <w:color w:val="000000"/>
          <w:lang w:val="sr-Cyrl-RS"/>
        </w:rPr>
        <w:t>новинарска</w:t>
      </w:r>
      <w:r w:rsidRPr="00E47DE8">
        <w:rPr>
          <w:color w:val="000000"/>
          <w:lang w:val="sr-Cyrl-RS"/>
        </w:rPr>
        <w:t xml:space="preserve"> </w:t>
      </w:r>
      <w:r>
        <w:rPr>
          <w:color w:val="000000"/>
          <w:lang w:val="sr-Cyrl-RS"/>
        </w:rPr>
        <w:t>и</w:t>
      </w:r>
      <w:r w:rsidRPr="00E47DE8">
        <w:rPr>
          <w:color w:val="000000"/>
          <w:lang w:val="sr-Cyrl-RS"/>
        </w:rPr>
        <w:t xml:space="preserve"> </w:t>
      </w:r>
      <w:r>
        <w:rPr>
          <w:color w:val="000000"/>
          <w:lang w:val="sr-Cyrl-RS"/>
        </w:rPr>
        <w:t>медијска</w:t>
      </w:r>
      <w:r w:rsidRPr="00E47DE8">
        <w:rPr>
          <w:color w:val="000000"/>
          <w:lang w:val="sr-Cyrl-RS"/>
        </w:rPr>
        <w:t xml:space="preserve"> </w:t>
      </w:r>
      <w:r>
        <w:rPr>
          <w:color w:val="000000"/>
          <w:lang w:val="sr-Cyrl-RS"/>
        </w:rPr>
        <w:t>удружења</w:t>
      </w:r>
      <w:r w:rsidRPr="00E47DE8">
        <w:rPr>
          <w:color w:val="000000"/>
          <w:lang w:val="sr-Cyrl-RS"/>
        </w:rPr>
        <w:t xml:space="preserve">, </w:t>
      </w:r>
      <w:r>
        <w:rPr>
          <w:color w:val="000000"/>
          <w:lang w:val="sr-Cyrl-RS"/>
        </w:rPr>
        <w:t>али исто тако</w:t>
      </w:r>
      <w:r w:rsidRPr="00E47DE8">
        <w:rPr>
          <w:color w:val="000000"/>
          <w:lang w:val="sr-Cyrl-RS"/>
        </w:rPr>
        <w:t xml:space="preserve"> </w:t>
      </w:r>
      <w:r>
        <w:rPr>
          <w:color w:val="000000"/>
          <w:lang w:val="sr-Cyrl-RS"/>
        </w:rPr>
        <w:t>и</w:t>
      </w:r>
      <w:r w:rsidRPr="00E47DE8">
        <w:rPr>
          <w:color w:val="000000"/>
          <w:lang w:val="sr-Cyrl-RS"/>
        </w:rPr>
        <w:t xml:space="preserve"> </w:t>
      </w:r>
      <w:r>
        <w:rPr>
          <w:color w:val="000000"/>
          <w:lang w:val="sr-Cyrl-RS"/>
        </w:rPr>
        <w:t>међународни</w:t>
      </w:r>
      <w:r w:rsidRPr="00E47DE8">
        <w:rPr>
          <w:color w:val="000000"/>
          <w:lang w:val="sr-Cyrl-RS"/>
        </w:rPr>
        <w:t xml:space="preserve"> </w:t>
      </w:r>
      <w:r>
        <w:rPr>
          <w:color w:val="000000"/>
          <w:lang w:val="sr-Cyrl-RS"/>
        </w:rPr>
        <w:t>партнери</w:t>
      </w:r>
      <w:r w:rsidRPr="00E47DE8">
        <w:rPr>
          <w:color w:val="000000"/>
          <w:lang w:val="sr-Cyrl-RS"/>
        </w:rPr>
        <w:t xml:space="preserve"> – </w:t>
      </w:r>
      <w:r>
        <w:rPr>
          <w:color w:val="000000"/>
          <w:lang w:val="sr-Cyrl-RS"/>
        </w:rPr>
        <w:t>Делегација</w:t>
      </w:r>
      <w:r w:rsidRPr="00E47DE8">
        <w:rPr>
          <w:color w:val="000000"/>
          <w:lang w:val="sr-Cyrl-RS"/>
        </w:rPr>
        <w:t xml:space="preserve"> </w:t>
      </w:r>
      <w:r>
        <w:rPr>
          <w:color w:val="000000"/>
          <w:lang w:val="sr-Cyrl-RS"/>
        </w:rPr>
        <w:t>Европске</w:t>
      </w:r>
      <w:r w:rsidRPr="00E47DE8">
        <w:rPr>
          <w:color w:val="000000"/>
          <w:lang w:val="sr-Cyrl-RS"/>
        </w:rPr>
        <w:t xml:space="preserve"> </w:t>
      </w:r>
      <w:r>
        <w:rPr>
          <w:color w:val="000000"/>
          <w:lang w:val="sr-Cyrl-RS"/>
        </w:rPr>
        <w:t>уније</w:t>
      </w:r>
      <w:r w:rsidRPr="00E47DE8">
        <w:rPr>
          <w:color w:val="000000"/>
          <w:lang w:val="sr-Cyrl-RS"/>
        </w:rPr>
        <w:t xml:space="preserve"> </w:t>
      </w:r>
      <w:r>
        <w:rPr>
          <w:color w:val="000000"/>
          <w:lang w:val="sr-Cyrl-RS"/>
        </w:rPr>
        <w:t>у</w:t>
      </w:r>
      <w:r w:rsidRPr="00E47DE8">
        <w:rPr>
          <w:color w:val="000000"/>
          <w:lang w:val="sr-Cyrl-RS"/>
        </w:rPr>
        <w:t xml:space="preserve"> </w:t>
      </w:r>
      <w:r>
        <w:rPr>
          <w:color w:val="000000"/>
          <w:lang w:val="sr-Cyrl-RS"/>
        </w:rPr>
        <w:t>Србији</w:t>
      </w:r>
      <w:r w:rsidRPr="00E47DE8">
        <w:rPr>
          <w:color w:val="000000"/>
          <w:lang w:val="sr-Cyrl-RS"/>
        </w:rPr>
        <w:t xml:space="preserve">, </w:t>
      </w:r>
      <w:r>
        <w:rPr>
          <w:color w:val="000000"/>
          <w:lang w:val="sr-Cyrl-RS"/>
        </w:rPr>
        <w:t>Мисија</w:t>
      </w:r>
      <w:r w:rsidRPr="00E47DE8">
        <w:rPr>
          <w:color w:val="000000"/>
          <w:lang w:val="sr-Cyrl-RS"/>
        </w:rPr>
        <w:t xml:space="preserve"> </w:t>
      </w:r>
      <w:r>
        <w:rPr>
          <w:color w:val="000000"/>
          <w:lang w:val="sr-Cyrl-RS"/>
        </w:rPr>
        <w:t>ОЕБС</w:t>
      </w:r>
      <w:r w:rsidRPr="00E47DE8">
        <w:rPr>
          <w:color w:val="000000"/>
          <w:lang w:val="sr-Cyrl-RS"/>
        </w:rPr>
        <w:t>-</w:t>
      </w:r>
      <w:r>
        <w:rPr>
          <w:color w:val="000000"/>
          <w:lang w:val="sr-Cyrl-RS"/>
        </w:rPr>
        <w:t>а</w:t>
      </w:r>
      <w:r w:rsidRPr="00E47DE8">
        <w:rPr>
          <w:color w:val="000000"/>
          <w:lang w:val="sr-Cyrl-RS"/>
        </w:rPr>
        <w:t xml:space="preserve">, </w:t>
      </w:r>
      <w:r>
        <w:rPr>
          <w:color w:val="000000"/>
          <w:lang w:val="sr-Cyrl-RS"/>
        </w:rPr>
        <w:t>Амбасада</w:t>
      </w:r>
      <w:r w:rsidRPr="00E47DE8">
        <w:rPr>
          <w:color w:val="000000"/>
          <w:lang w:val="sr-Cyrl-RS"/>
        </w:rPr>
        <w:t xml:space="preserve"> К</w:t>
      </w:r>
      <w:r>
        <w:rPr>
          <w:color w:val="000000"/>
          <w:lang w:val="sr-Cyrl-RS"/>
        </w:rPr>
        <w:t>раљевине</w:t>
      </w:r>
      <w:r w:rsidRPr="00E47DE8">
        <w:rPr>
          <w:color w:val="000000"/>
          <w:lang w:val="sr-Cyrl-RS"/>
        </w:rPr>
        <w:t xml:space="preserve"> </w:t>
      </w:r>
      <w:r>
        <w:rPr>
          <w:color w:val="000000"/>
          <w:lang w:val="sr-Cyrl-RS"/>
        </w:rPr>
        <w:t>Норвешке</w:t>
      </w:r>
      <w:r w:rsidRPr="00E47DE8">
        <w:rPr>
          <w:color w:val="000000"/>
          <w:lang w:val="sr-Cyrl-RS"/>
        </w:rPr>
        <w:t xml:space="preserve"> </w:t>
      </w:r>
      <w:r>
        <w:rPr>
          <w:color w:val="000000"/>
          <w:lang w:val="sr-Cyrl-RS"/>
        </w:rPr>
        <w:t>и Фондација Конрад Аденауер</w:t>
      </w:r>
      <w:r w:rsidRPr="00E47DE8">
        <w:rPr>
          <w:color w:val="000000"/>
          <w:lang w:val="sr-Cyrl-RS"/>
        </w:rPr>
        <w:t>.</w:t>
      </w:r>
    </w:p>
    <w:p w:rsidR="001B57DA" w:rsidRPr="00315BA1" w:rsidRDefault="001B57DA" w:rsidP="001B57DA">
      <w:pPr>
        <w:rPr>
          <w:b/>
          <w:lang w:val="sr-Latn-RS"/>
        </w:rPr>
      </w:pPr>
    </w:p>
    <w:p w:rsidR="001B57DA" w:rsidRPr="00CB12C4" w:rsidRDefault="001B57DA" w:rsidP="001B57DA">
      <w:pPr>
        <w:numPr>
          <w:ilvl w:val="0"/>
          <w:numId w:val="29"/>
        </w:numPr>
        <w:jc w:val="both"/>
        <w:rPr>
          <w:b/>
          <w:lang w:val="sr-Latn-RS"/>
        </w:rPr>
      </w:pPr>
      <w:r w:rsidRPr="00CB12C4">
        <w:rPr>
          <w:b/>
          <w:lang w:val="sr-Latn-RS"/>
        </w:rPr>
        <w:t>Мере које ће бити предузете како би се остварил</w:t>
      </w:r>
      <w:r w:rsidRPr="00CB12C4">
        <w:rPr>
          <w:b/>
          <w:lang w:val="sr-Cyrl-RS"/>
        </w:rPr>
        <w:t>а изабрана опција јавне политике (имплементационе мере)</w:t>
      </w:r>
    </w:p>
    <w:p w:rsidR="001B57DA" w:rsidRPr="00CB12C4" w:rsidRDefault="001B57DA" w:rsidP="001B57DA">
      <w:pPr>
        <w:jc w:val="both"/>
        <w:rPr>
          <w:lang w:val="sr-Cyrl-RS"/>
        </w:rPr>
      </w:pPr>
    </w:p>
    <w:p w:rsidR="001B57DA" w:rsidRPr="00CB12C4" w:rsidRDefault="001B57DA" w:rsidP="001B57DA">
      <w:pPr>
        <w:ind w:firstLine="720"/>
        <w:jc w:val="both"/>
        <w:rPr>
          <w:noProof/>
          <w:lang w:val="sr-Cyrl-CS"/>
        </w:rPr>
      </w:pPr>
      <w:r w:rsidRPr="00CB12C4">
        <w:rPr>
          <w:noProof/>
          <w:lang w:val="sr-Cyrl-CS"/>
        </w:rPr>
        <w:t>Ради остварења циљева овог закона, заједничким радом надлежних регулаторних тела, биће донети подзаконски акти који свој основ имају у правним нормама овог закона, и то:</w:t>
      </w:r>
    </w:p>
    <w:p w:rsidR="001B57DA" w:rsidRPr="00C86711" w:rsidRDefault="001B57DA" w:rsidP="001B57DA">
      <w:pPr>
        <w:jc w:val="both"/>
        <w:rPr>
          <w:lang w:val="sr-Cyrl-RS"/>
        </w:rPr>
      </w:pPr>
    </w:p>
    <w:p w:rsidR="001B57DA" w:rsidRPr="003254E6" w:rsidRDefault="001B57DA" w:rsidP="001B57DA">
      <w:pPr>
        <w:spacing w:line="276" w:lineRule="auto"/>
        <w:ind w:firstLine="720"/>
        <w:contextualSpacing/>
        <w:jc w:val="both"/>
        <w:rPr>
          <w:rFonts w:eastAsiaTheme="minorHAnsi"/>
          <w:lang w:val="sr-Cyrl-RS"/>
        </w:rPr>
      </w:pPr>
      <w:r w:rsidRPr="003254E6">
        <w:rPr>
          <w:rFonts w:eastAsiaTheme="minorHAnsi"/>
          <w:lang w:val="sr-Cyrl-RS"/>
        </w:rPr>
        <w:t>Влада ће у року од шест месеци од дана ступања на снагу овог закона донети подзаконски акт предвиђен чланом 13. овог закона.</w:t>
      </w:r>
    </w:p>
    <w:p w:rsidR="001B57DA" w:rsidRPr="003254E6" w:rsidRDefault="001B57DA" w:rsidP="001B57DA">
      <w:pPr>
        <w:rPr>
          <w:rFonts w:ascii="Calibri" w:eastAsiaTheme="minorHAnsi" w:hAnsi="Calibri" w:cs="Calibri"/>
          <w:sz w:val="22"/>
          <w:szCs w:val="22"/>
        </w:rPr>
      </w:pPr>
    </w:p>
    <w:p w:rsidR="001B57DA" w:rsidRPr="003254E6" w:rsidRDefault="001B57DA" w:rsidP="001B57DA">
      <w:pPr>
        <w:numPr>
          <w:ilvl w:val="0"/>
          <w:numId w:val="48"/>
        </w:numPr>
        <w:spacing w:after="200" w:line="276" w:lineRule="auto"/>
        <w:contextualSpacing/>
        <w:jc w:val="both"/>
        <w:rPr>
          <w:rFonts w:eastAsiaTheme="minorHAnsi"/>
          <w:lang w:val="sr-Cyrl-RS"/>
        </w:rPr>
      </w:pPr>
      <w:r w:rsidRPr="003254E6">
        <w:rPr>
          <w:rFonts w:eastAsiaTheme="minorHAnsi"/>
          <w:lang w:val="sr-Cyrl-RS"/>
        </w:rPr>
        <w:t>Уредба о критеријумима за доделу средстава, начину расподеле и утврђивању износа за издавање новина на језицима националних мањина, чији су издавачи  основани од стране националних савета националних мањина (13.3)</w:t>
      </w:r>
    </w:p>
    <w:p w:rsidR="001B57DA" w:rsidRPr="003254E6" w:rsidRDefault="001B57DA" w:rsidP="001B57DA">
      <w:pPr>
        <w:jc w:val="both"/>
        <w:rPr>
          <w:rFonts w:eastAsiaTheme="minorHAnsi"/>
          <w:lang w:val="sr-Cyrl-RS"/>
        </w:rPr>
      </w:pPr>
    </w:p>
    <w:p w:rsidR="001B57DA" w:rsidRPr="003254E6" w:rsidRDefault="001B57DA" w:rsidP="001B57DA">
      <w:pPr>
        <w:ind w:firstLine="720"/>
        <w:jc w:val="both"/>
        <w:rPr>
          <w:rFonts w:eastAsiaTheme="minorHAnsi"/>
        </w:rPr>
      </w:pPr>
      <w:r w:rsidRPr="003254E6">
        <w:rPr>
          <w:rFonts w:eastAsiaTheme="minorHAnsi"/>
        </w:rPr>
        <w:t xml:space="preserve">Министарство надлежно за послове информисања дужно је да у року </w:t>
      </w:r>
      <w:proofErr w:type="gramStart"/>
      <w:r w:rsidRPr="003254E6">
        <w:rPr>
          <w:rFonts w:eastAsiaTheme="minorHAnsi"/>
        </w:rPr>
        <w:t xml:space="preserve">од  </w:t>
      </w:r>
      <w:r w:rsidRPr="003254E6">
        <w:rPr>
          <w:rFonts w:eastAsiaTheme="minorHAnsi"/>
          <w:lang w:val="sr-Cyrl-RS"/>
        </w:rPr>
        <w:t>шест</w:t>
      </w:r>
      <w:proofErr w:type="gramEnd"/>
      <w:r w:rsidRPr="003254E6">
        <w:rPr>
          <w:rFonts w:eastAsiaTheme="minorHAnsi"/>
          <w:lang w:val="sr-Cyrl-RS"/>
        </w:rPr>
        <w:t xml:space="preserve"> месеци </w:t>
      </w:r>
      <w:r w:rsidRPr="003254E6">
        <w:rPr>
          <w:rFonts w:eastAsiaTheme="minorHAnsi"/>
        </w:rPr>
        <w:t xml:space="preserve">од дана ступања на снагу овог закона донесе подзаконске акте предвиђене чл. 25, 27, 28, 30, 31, 33, 51. </w:t>
      </w:r>
      <w:r w:rsidRPr="003254E6">
        <w:rPr>
          <w:rFonts w:eastAsiaTheme="minorHAnsi"/>
          <w:lang w:val="sr-Cyrl-RS"/>
        </w:rPr>
        <w:t>и 67</w:t>
      </w:r>
      <w:r>
        <w:rPr>
          <w:rFonts w:eastAsiaTheme="minorHAnsi"/>
          <w:lang w:val="sr-Cyrl-RS"/>
        </w:rPr>
        <w:t>.</w:t>
      </w:r>
      <w:r w:rsidRPr="003254E6">
        <w:rPr>
          <w:rFonts w:eastAsiaTheme="minorHAnsi"/>
          <w:lang w:val="sr-Cyrl-RS"/>
        </w:rPr>
        <w:t xml:space="preserve"> </w:t>
      </w:r>
      <w:proofErr w:type="gramStart"/>
      <w:r w:rsidRPr="003254E6">
        <w:rPr>
          <w:rFonts w:eastAsiaTheme="minorHAnsi"/>
        </w:rPr>
        <w:t>овог</w:t>
      </w:r>
      <w:proofErr w:type="gramEnd"/>
      <w:r w:rsidRPr="003254E6">
        <w:rPr>
          <w:rFonts w:eastAsiaTheme="minorHAnsi"/>
        </w:rPr>
        <w:t xml:space="preserve"> закона. </w:t>
      </w:r>
    </w:p>
    <w:p w:rsidR="001B57DA" w:rsidRPr="003254E6" w:rsidRDefault="001B57DA" w:rsidP="001B57DA">
      <w:pPr>
        <w:rPr>
          <w:rFonts w:ascii="Calibri" w:eastAsiaTheme="minorHAnsi" w:hAnsi="Calibri" w:cs="Calibri"/>
          <w:sz w:val="22"/>
          <w:szCs w:val="22"/>
        </w:rPr>
      </w:pPr>
    </w:p>
    <w:p w:rsidR="001B57DA" w:rsidRPr="003254E6" w:rsidRDefault="001B57DA" w:rsidP="001B57DA">
      <w:pPr>
        <w:jc w:val="both"/>
        <w:rPr>
          <w:rFonts w:eastAsiaTheme="minorHAnsi"/>
          <w:lang w:val="sr-Cyrl-RS"/>
        </w:rPr>
      </w:pPr>
    </w:p>
    <w:p w:rsidR="001B57DA" w:rsidRPr="003254E6" w:rsidRDefault="001B57DA" w:rsidP="001B57DA">
      <w:pPr>
        <w:numPr>
          <w:ilvl w:val="0"/>
          <w:numId w:val="47"/>
        </w:numPr>
        <w:spacing w:after="200" w:line="276" w:lineRule="auto"/>
        <w:contextualSpacing/>
        <w:jc w:val="both"/>
        <w:rPr>
          <w:rFonts w:eastAsiaTheme="minorHAnsi"/>
          <w:lang w:val="sr-Cyrl-RS"/>
        </w:rPr>
      </w:pPr>
      <w:r w:rsidRPr="003254E6">
        <w:rPr>
          <w:rFonts w:eastAsiaTheme="minorHAnsi"/>
          <w:lang w:val="sr-Cyrl-RS"/>
        </w:rPr>
        <w:t>Правилник о суфинансирању пројеката за остваривање јавног интереса у области јавног информисања</w:t>
      </w:r>
      <w:r w:rsidRPr="003254E6">
        <w:rPr>
          <w:rFonts w:eastAsiaTheme="minorHAnsi"/>
          <w:lang w:val="sr-Latn-RS"/>
        </w:rPr>
        <w:t xml:space="preserve"> </w:t>
      </w:r>
      <w:r w:rsidRPr="003254E6">
        <w:rPr>
          <w:rFonts w:eastAsiaTheme="minorHAnsi"/>
          <w:lang w:val="sr-Cyrl-RS"/>
        </w:rPr>
        <w:t xml:space="preserve">(чл. </w:t>
      </w:r>
      <w:r w:rsidRPr="003254E6">
        <w:rPr>
          <w:rFonts w:eastAsiaTheme="minorHAnsi"/>
          <w:lang w:val="sr-Latn-RS"/>
        </w:rPr>
        <w:t>25</w:t>
      </w:r>
      <w:r w:rsidRPr="003254E6">
        <w:rPr>
          <w:rFonts w:eastAsiaTheme="minorHAnsi"/>
          <w:lang w:val="sr-Cyrl-RS"/>
        </w:rPr>
        <w:t>.15 и 16; 27.12; 30.1)</w:t>
      </w:r>
    </w:p>
    <w:p w:rsidR="001B57DA" w:rsidRPr="003254E6" w:rsidRDefault="001B57DA" w:rsidP="001B57DA">
      <w:pPr>
        <w:jc w:val="both"/>
        <w:rPr>
          <w:rFonts w:eastAsiaTheme="minorHAnsi"/>
          <w:lang w:val="sr-Cyrl-RS"/>
        </w:rPr>
      </w:pPr>
    </w:p>
    <w:p w:rsidR="001B57DA" w:rsidRPr="003254E6" w:rsidRDefault="001B57DA" w:rsidP="001B57DA">
      <w:pPr>
        <w:numPr>
          <w:ilvl w:val="0"/>
          <w:numId w:val="47"/>
        </w:numPr>
        <w:spacing w:after="200" w:line="276" w:lineRule="auto"/>
        <w:contextualSpacing/>
        <w:jc w:val="both"/>
        <w:rPr>
          <w:rFonts w:eastAsiaTheme="minorHAnsi"/>
          <w:lang w:val="sr-Cyrl-RS"/>
        </w:rPr>
      </w:pPr>
      <w:r w:rsidRPr="003254E6">
        <w:rPr>
          <w:rFonts w:eastAsiaTheme="minorHAnsi"/>
          <w:lang w:val="sr-Cyrl-RS"/>
        </w:rPr>
        <w:t>Правилник о анализи и изради извештаја о потребним медијским садржајима (члан 28. ст. 10.)</w:t>
      </w:r>
    </w:p>
    <w:p w:rsidR="001B57DA" w:rsidRPr="003254E6" w:rsidRDefault="001B57DA" w:rsidP="001B57DA">
      <w:pPr>
        <w:jc w:val="both"/>
        <w:rPr>
          <w:rFonts w:eastAsiaTheme="minorHAnsi"/>
          <w:color w:val="000000"/>
          <w:lang w:val="sr-Cyrl-RS"/>
        </w:rPr>
      </w:pPr>
    </w:p>
    <w:p w:rsidR="001B57DA" w:rsidRPr="003254E6" w:rsidRDefault="001B57DA" w:rsidP="001B57DA">
      <w:pPr>
        <w:numPr>
          <w:ilvl w:val="0"/>
          <w:numId w:val="47"/>
        </w:numPr>
        <w:spacing w:after="200" w:line="276" w:lineRule="auto"/>
        <w:contextualSpacing/>
        <w:jc w:val="both"/>
        <w:rPr>
          <w:rFonts w:eastAsiaTheme="minorHAnsi"/>
          <w:lang w:val="sr-Cyrl-RS"/>
        </w:rPr>
      </w:pPr>
      <w:r w:rsidRPr="003254E6">
        <w:rPr>
          <w:rFonts w:eastAsiaTheme="minorHAnsi"/>
          <w:color w:val="000000"/>
          <w:lang w:val="sr-Cyrl-RS"/>
        </w:rPr>
        <w:lastRenderedPageBreak/>
        <w:t xml:space="preserve">Правилник о </w:t>
      </w:r>
      <w:r w:rsidRPr="003254E6">
        <w:rPr>
          <w:rFonts w:eastAsiaTheme="minorHAnsi"/>
        </w:rPr>
        <w:t>Јединствено</w:t>
      </w:r>
      <w:r w:rsidRPr="003254E6">
        <w:rPr>
          <w:rFonts w:eastAsiaTheme="minorHAnsi"/>
          <w:lang w:val="sr-Cyrl-RS"/>
        </w:rPr>
        <w:t>м</w:t>
      </w:r>
      <w:r w:rsidRPr="003254E6">
        <w:rPr>
          <w:rFonts w:eastAsiaTheme="minorHAnsi"/>
        </w:rPr>
        <w:t xml:space="preserve"> информационо</w:t>
      </w:r>
      <w:r w:rsidRPr="003254E6">
        <w:rPr>
          <w:rFonts w:eastAsiaTheme="minorHAnsi"/>
          <w:lang w:val="sr-Cyrl-RS"/>
        </w:rPr>
        <w:t>м</w:t>
      </w:r>
      <w:r w:rsidRPr="003254E6">
        <w:rPr>
          <w:rFonts w:eastAsiaTheme="minorHAnsi"/>
        </w:rPr>
        <w:t xml:space="preserve"> систем</w:t>
      </w:r>
      <w:r w:rsidRPr="003254E6">
        <w:rPr>
          <w:rFonts w:eastAsiaTheme="minorHAnsi"/>
          <w:lang w:val="sr-Cyrl-RS"/>
        </w:rPr>
        <w:t>у</w:t>
      </w:r>
      <w:r w:rsidRPr="003254E6">
        <w:rPr>
          <w:rFonts w:ascii="Verdana" w:eastAsiaTheme="minorHAnsi" w:hAnsi="Verdana"/>
          <w:sz w:val="22"/>
          <w:szCs w:val="22"/>
        </w:rPr>
        <w:t xml:space="preserve"> </w:t>
      </w:r>
      <w:r w:rsidRPr="003254E6">
        <w:rPr>
          <w:rFonts w:eastAsiaTheme="minorHAnsi"/>
          <w:lang w:val="sr-Cyrl-RS"/>
        </w:rPr>
        <w:t>за спровођење и праћење суфинансирања пројеката у областима јавног информисања  ( чл. 31.5; 33.4)</w:t>
      </w:r>
    </w:p>
    <w:p w:rsidR="001B57DA" w:rsidRPr="003254E6" w:rsidRDefault="001B57DA" w:rsidP="001B57DA">
      <w:pPr>
        <w:jc w:val="both"/>
        <w:rPr>
          <w:rFonts w:eastAsiaTheme="minorHAnsi"/>
          <w:lang w:val="sr-Cyrl-RS"/>
        </w:rPr>
      </w:pPr>
    </w:p>
    <w:p w:rsidR="001B57DA" w:rsidRPr="003254E6" w:rsidRDefault="001B57DA" w:rsidP="001B57DA">
      <w:pPr>
        <w:numPr>
          <w:ilvl w:val="0"/>
          <w:numId w:val="47"/>
        </w:numPr>
        <w:spacing w:after="200" w:line="276" w:lineRule="auto"/>
        <w:contextualSpacing/>
        <w:jc w:val="both"/>
        <w:rPr>
          <w:rFonts w:eastAsiaTheme="minorHAnsi"/>
          <w:lang w:val="sr-Cyrl-RS"/>
        </w:rPr>
      </w:pPr>
      <w:r w:rsidRPr="003254E6">
        <w:rPr>
          <w:rFonts w:eastAsiaTheme="minorHAnsi"/>
          <w:lang w:val="sr-Cyrl-RS"/>
        </w:rPr>
        <w:t>Правилник о документациј</w:t>
      </w:r>
      <w:r>
        <w:rPr>
          <w:rFonts w:eastAsiaTheme="minorHAnsi"/>
          <w:lang w:val="sr-Cyrl-RS"/>
        </w:rPr>
        <w:t>и</w:t>
      </w:r>
      <w:r w:rsidRPr="003254E6">
        <w:rPr>
          <w:rFonts w:eastAsiaTheme="minorHAnsi"/>
          <w:lang w:val="sr-Cyrl-RS"/>
        </w:rPr>
        <w:t xml:space="preserve"> која се прилаже у поступку регистрације медија </w:t>
      </w:r>
      <w:r>
        <w:rPr>
          <w:rFonts w:eastAsiaTheme="minorHAnsi"/>
          <w:lang w:val="sr-Cyrl-RS"/>
        </w:rPr>
        <w:t xml:space="preserve"> и евидентирања</w:t>
      </w:r>
      <w:r w:rsidRPr="003254E6">
        <w:rPr>
          <w:rFonts w:eastAsiaTheme="minorHAnsi"/>
          <w:lang w:val="sr-Cyrl-RS"/>
        </w:rPr>
        <w:t xml:space="preserve"> </w:t>
      </w:r>
      <w:r>
        <w:rPr>
          <w:rFonts w:eastAsiaTheme="minorHAnsi"/>
          <w:lang w:val="sr-Cyrl-RS"/>
        </w:rPr>
        <w:t>произвођача медијских садржаја</w:t>
      </w:r>
      <w:r w:rsidRPr="003254E6">
        <w:rPr>
          <w:rFonts w:eastAsiaTheme="minorHAnsi"/>
          <w:lang w:val="sr-Cyrl-RS"/>
        </w:rPr>
        <w:t xml:space="preserve"> ( члан 51.)</w:t>
      </w:r>
    </w:p>
    <w:p w:rsidR="001B57DA" w:rsidRPr="003254E6" w:rsidRDefault="001B57DA" w:rsidP="001B57DA">
      <w:pPr>
        <w:jc w:val="both"/>
        <w:rPr>
          <w:rFonts w:eastAsiaTheme="minorHAnsi"/>
          <w:lang w:val="sr-Cyrl-RS"/>
        </w:rPr>
      </w:pPr>
    </w:p>
    <w:p w:rsidR="001B57DA" w:rsidRPr="003254E6" w:rsidRDefault="001B57DA" w:rsidP="001B57DA">
      <w:pPr>
        <w:numPr>
          <w:ilvl w:val="0"/>
          <w:numId w:val="47"/>
        </w:numPr>
        <w:spacing w:after="200" w:line="276" w:lineRule="auto"/>
        <w:contextualSpacing/>
        <w:jc w:val="both"/>
        <w:rPr>
          <w:rFonts w:eastAsiaTheme="minorHAnsi"/>
          <w:color w:val="000000"/>
          <w:lang w:val="sr-Cyrl-RS"/>
        </w:rPr>
      </w:pPr>
      <w:r w:rsidRPr="003254E6">
        <w:rPr>
          <w:rFonts w:eastAsiaTheme="minorHAnsi"/>
          <w:lang w:val="sr-Cyrl-RS"/>
        </w:rPr>
        <w:t xml:space="preserve">Правилник </w:t>
      </w:r>
      <w:r w:rsidRPr="003254E6">
        <w:rPr>
          <w:rFonts w:eastAsiaTheme="minorHAnsi"/>
        </w:rPr>
        <w:t>о начину вођења и упису у евиденцију представника иностраних медија и дописништава иностраних медија</w:t>
      </w:r>
      <w:r w:rsidRPr="003254E6">
        <w:rPr>
          <w:rFonts w:eastAsiaTheme="minorHAnsi"/>
          <w:lang w:val="sr-Cyrl-RS"/>
        </w:rPr>
        <w:t xml:space="preserve"> (67.4)</w:t>
      </w:r>
    </w:p>
    <w:p w:rsidR="001B57DA" w:rsidRDefault="001B57DA" w:rsidP="001B57DA">
      <w:pPr>
        <w:ind w:firstLine="720"/>
        <w:jc w:val="both"/>
        <w:rPr>
          <w:lang w:val="sr-Cyrl-RS"/>
        </w:rPr>
      </w:pPr>
    </w:p>
    <w:p w:rsidR="001B57DA" w:rsidRPr="00CB12C4" w:rsidRDefault="001B57DA" w:rsidP="001B57DA">
      <w:pPr>
        <w:ind w:firstLine="720"/>
        <w:jc w:val="both"/>
        <w:rPr>
          <w:lang w:val="ru-RU"/>
        </w:rPr>
      </w:pPr>
      <w:r w:rsidRPr="00CB12C4">
        <w:rPr>
          <w:lang w:val="sr-Cyrl-RS"/>
        </w:rPr>
        <w:t xml:space="preserve">Како би се успоставио </w:t>
      </w:r>
      <w:r w:rsidRPr="00CB12C4">
        <w:t>Јединствени информацион</w:t>
      </w:r>
      <w:r w:rsidRPr="00CB12C4">
        <w:rPr>
          <w:lang w:val="sr-Cyrl-RS"/>
        </w:rPr>
        <w:t>и</w:t>
      </w:r>
      <w:r w:rsidRPr="00CB12C4">
        <w:t xml:space="preserve"> систем</w:t>
      </w:r>
      <w:r w:rsidRPr="00CB12C4">
        <w:rPr>
          <w:lang w:val="sr-Cyrl-RS"/>
        </w:rPr>
        <w:t xml:space="preserve"> </w:t>
      </w:r>
      <w:r w:rsidRPr="00CB12C4">
        <w:rPr>
          <w:lang w:val="ru-RU"/>
        </w:rPr>
        <w:t>за спровођење и праћење суфинансирања пројеката у области јавног информисања, Министарство ће, уз стручно-техничку подр</w:t>
      </w:r>
      <w:r>
        <w:rPr>
          <w:lang w:val="ru-RU"/>
        </w:rPr>
        <w:t>ш</w:t>
      </w:r>
      <w:r w:rsidRPr="00CB12C4">
        <w:rPr>
          <w:lang w:val="ru-RU"/>
        </w:rPr>
        <w:t>ку Канцеларије за информационе технологије и електронску управу, припремити техничку спецификацију овог информационог система и спровести набавку у најкраћим могућим роковима.</w:t>
      </w:r>
    </w:p>
    <w:p w:rsidR="001B57DA" w:rsidRPr="00CB12C4" w:rsidRDefault="001B57DA" w:rsidP="001B57DA">
      <w:pPr>
        <w:ind w:firstLine="720"/>
        <w:jc w:val="both"/>
        <w:rPr>
          <w:lang w:val="ru-RU"/>
        </w:rPr>
      </w:pPr>
    </w:p>
    <w:p w:rsidR="001B57DA" w:rsidRDefault="001B57DA" w:rsidP="001B57DA">
      <w:pPr>
        <w:ind w:firstLine="720"/>
        <w:jc w:val="both"/>
        <w:rPr>
          <w:lang w:val="sr-Cyrl-RS"/>
        </w:rPr>
      </w:pPr>
      <w:r w:rsidRPr="00CB12C4">
        <w:rPr>
          <w:lang w:val="sr-Cyrl-RS"/>
        </w:rPr>
        <w:t>Поступци приватизације издавача који су започети до дана ступања на снагу овог закона спровешће се у складу са одредб</w:t>
      </w:r>
      <w:r>
        <w:rPr>
          <w:lang w:val="sr-Cyrl-RS"/>
        </w:rPr>
        <w:t>а</w:t>
      </w:r>
      <w:r w:rsidRPr="00CB12C4">
        <w:rPr>
          <w:lang w:val="sr-Cyrl-RS"/>
        </w:rPr>
        <w:t>ма чл. 156. и 157. овог нацрта закона.</w:t>
      </w:r>
    </w:p>
    <w:p w:rsidR="001B57DA" w:rsidRDefault="001B57DA" w:rsidP="001B57DA">
      <w:pPr>
        <w:ind w:firstLine="720"/>
        <w:jc w:val="both"/>
        <w:rPr>
          <w:lang w:val="sr-Cyrl-RS"/>
        </w:rPr>
      </w:pPr>
    </w:p>
    <w:p w:rsidR="001B57DA" w:rsidRPr="00CB12C4" w:rsidRDefault="001B57DA" w:rsidP="001B57DA">
      <w:pPr>
        <w:ind w:firstLine="720"/>
        <w:jc w:val="both"/>
        <w:rPr>
          <w:lang w:val="sr-Cyrl-RS"/>
        </w:rPr>
      </w:pPr>
      <w:r>
        <w:rPr>
          <w:lang w:val="sr-Cyrl-RS"/>
        </w:rPr>
        <w:t xml:space="preserve">Како би се обезбедили сви потребни капацитети за спровођење овог закона и успешно управљало ризицима имплементације, Министарство информисања и телекомуникација покренуће иницијативе за јачање капацитета кроз партнерство са </w:t>
      </w:r>
      <w:r>
        <w:rPr>
          <w:color w:val="000000"/>
          <w:lang w:val="sr-Cyrl-RS"/>
        </w:rPr>
        <w:t>међународним</w:t>
      </w:r>
      <w:r w:rsidRPr="00E47DE8">
        <w:rPr>
          <w:color w:val="000000"/>
          <w:lang w:val="sr-Cyrl-RS"/>
        </w:rPr>
        <w:t xml:space="preserve"> </w:t>
      </w:r>
      <w:r>
        <w:rPr>
          <w:color w:val="000000"/>
          <w:lang w:val="sr-Cyrl-RS"/>
        </w:rPr>
        <w:t>институцијама и организацијама (Делегација</w:t>
      </w:r>
      <w:r w:rsidRPr="00E47DE8">
        <w:rPr>
          <w:color w:val="000000"/>
          <w:lang w:val="sr-Cyrl-RS"/>
        </w:rPr>
        <w:t xml:space="preserve"> </w:t>
      </w:r>
      <w:r>
        <w:rPr>
          <w:color w:val="000000"/>
          <w:lang w:val="sr-Cyrl-RS"/>
        </w:rPr>
        <w:t>Европске</w:t>
      </w:r>
      <w:r w:rsidRPr="00E47DE8">
        <w:rPr>
          <w:color w:val="000000"/>
          <w:lang w:val="sr-Cyrl-RS"/>
        </w:rPr>
        <w:t xml:space="preserve"> </w:t>
      </w:r>
      <w:r>
        <w:rPr>
          <w:color w:val="000000"/>
          <w:lang w:val="sr-Cyrl-RS"/>
        </w:rPr>
        <w:t>уније</w:t>
      </w:r>
      <w:r w:rsidRPr="00E47DE8">
        <w:rPr>
          <w:color w:val="000000"/>
          <w:lang w:val="sr-Cyrl-RS"/>
        </w:rPr>
        <w:t xml:space="preserve"> </w:t>
      </w:r>
      <w:r>
        <w:rPr>
          <w:color w:val="000000"/>
          <w:lang w:val="sr-Cyrl-RS"/>
        </w:rPr>
        <w:t>у</w:t>
      </w:r>
      <w:r w:rsidRPr="00E47DE8">
        <w:rPr>
          <w:color w:val="000000"/>
          <w:lang w:val="sr-Cyrl-RS"/>
        </w:rPr>
        <w:t xml:space="preserve"> </w:t>
      </w:r>
      <w:r>
        <w:rPr>
          <w:color w:val="000000"/>
          <w:lang w:val="sr-Cyrl-RS"/>
        </w:rPr>
        <w:t>Србији</w:t>
      </w:r>
      <w:r w:rsidRPr="00E47DE8">
        <w:rPr>
          <w:color w:val="000000"/>
          <w:lang w:val="sr-Cyrl-RS"/>
        </w:rPr>
        <w:t xml:space="preserve">, </w:t>
      </w:r>
      <w:r>
        <w:rPr>
          <w:color w:val="000000"/>
          <w:lang w:val="sr-Cyrl-RS"/>
        </w:rPr>
        <w:t>Мисија</w:t>
      </w:r>
      <w:r w:rsidRPr="00E47DE8">
        <w:rPr>
          <w:color w:val="000000"/>
          <w:lang w:val="sr-Cyrl-RS"/>
        </w:rPr>
        <w:t xml:space="preserve"> </w:t>
      </w:r>
      <w:r>
        <w:rPr>
          <w:color w:val="000000"/>
          <w:lang w:val="sr-Cyrl-RS"/>
        </w:rPr>
        <w:t>ОЕБС</w:t>
      </w:r>
      <w:r w:rsidRPr="00E47DE8">
        <w:rPr>
          <w:color w:val="000000"/>
          <w:lang w:val="sr-Cyrl-RS"/>
        </w:rPr>
        <w:t>-</w:t>
      </w:r>
      <w:r>
        <w:rPr>
          <w:color w:val="000000"/>
          <w:lang w:val="sr-Cyrl-RS"/>
        </w:rPr>
        <w:t>а</w:t>
      </w:r>
      <w:r w:rsidRPr="00E47DE8">
        <w:rPr>
          <w:color w:val="000000"/>
          <w:lang w:val="sr-Cyrl-RS"/>
        </w:rPr>
        <w:t xml:space="preserve">, </w:t>
      </w:r>
      <w:r>
        <w:rPr>
          <w:color w:val="000000"/>
          <w:lang w:val="sr-Cyrl-RS"/>
        </w:rPr>
        <w:t>Амбасада</w:t>
      </w:r>
      <w:r w:rsidRPr="00E47DE8">
        <w:rPr>
          <w:color w:val="000000"/>
          <w:lang w:val="sr-Cyrl-RS"/>
        </w:rPr>
        <w:t xml:space="preserve"> К</w:t>
      </w:r>
      <w:r>
        <w:rPr>
          <w:color w:val="000000"/>
          <w:lang w:val="sr-Cyrl-RS"/>
        </w:rPr>
        <w:t>раљевине</w:t>
      </w:r>
      <w:r w:rsidRPr="00E47DE8">
        <w:rPr>
          <w:color w:val="000000"/>
          <w:lang w:val="sr-Cyrl-RS"/>
        </w:rPr>
        <w:t xml:space="preserve"> </w:t>
      </w:r>
      <w:r>
        <w:rPr>
          <w:color w:val="000000"/>
          <w:lang w:val="sr-Cyrl-RS"/>
        </w:rPr>
        <w:t>Норвешке</w:t>
      </w:r>
      <w:r w:rsidRPr="00E47DE8">
        <w:rPr>
          <w:color w:val="000000"/>
          <w:lang w:val="sr-Cyrl-RS"/>
        </w:rPr>
        <w:t xml:space="preserve"> </w:t>
      </w:r>
      <w:r>
        <w:rPr>
          <w:color w:val="000000"/>
          <w:lang w:val="sr-Cyrl-RS"/>
        </w:rPr>
        <w:t>и Фондација Конрад Аденауер) и спровођење пројеката у овој области,</w:t>
      </w:r>
      <w:r>
        <w:rPr>
          <w:lang w:val="sr-Cyrl-RS"/>
        </w:rPr>
        <w:t xml:space="preserve"> као и кроз наставак сарадње са асоцијацијама медија и удружењима новинара, те са саморегулаторним телима.</w:t>
      </w:r>
    </w:p>
    <w:p w:rsidR="00136480" w:rsidRPr="001B57DA" w:rsidRDefault="00136480" w:rsidP="001B57DA"/>
    <w:sectPr w:rsidR="00136480" w:rsidRPr="001B57DA" w:rsidSect="001B57DA">
      <w:headerReference w:type="even" r:id="rId14"/>
      <w:headerReference w:type="default" r:id="rId15"/>
      <w:footerReference w:type="even" r:id="rId16"/>
      <w:footerReference w:type="default" r:id="rId17"/>
      <w:headerReference w:type="first" r:id="rId18"/>
      <w:footerReference w:type="first" r:id="rId19"/>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7DA" w:rsidRDefault="001B57DA" w:rsidP="001B57DA">
      <w:r>
        <w:separator/>
      </w:r>
    </w:p>
  </w:endnote>
  <w:endnote w:type="continuationSeparator" w:id="0">
    <w:p w:rsidR="001B57DA" w:rsidRDefault="001B57DA" w:rsidP="001B5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 Ciril">
    <w:altName w:val="Courier New"/>
    <w:charset w:val="00"/>
    <w:family w:val="swiss"/>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7DA" w:rsidRDefault="001B57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7DA" w:rsidRDefault="001B57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7DA" w:rsidRDefault="001B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7DA" w:rsidRDefault="001B57DA" w:rsidP="001B57DA">
      <w:r>
        <w:separator/>
      </w:r>
    </w:p>
  </w:footnote>
  <w:footnote w:type="continuationSeparator" w:id="0">
    <w:p w:rsidR="001B57DA" w:rsidRDefault="001B57DA" w:rsidP="001B5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7DA" w:rsidRDefault="001B57DA" w:rsidP="006628A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B57DA" w:rsidRDefault="001B57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7DA" w:rsidRDefault="001B57DA" w:rsidP="006628A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B7BBF">
      <w:rPr>
        <w:rStyle w:val="PageNumber"/>
        <w:noProof/>
      </w:rPr>
      <w:t>20</w:t>
    </w:r>
    <w:r>
      <w:rPr>
        <w:rStyle w:val="PageNumber"/>
      </w:rPr>
      <w:fldChar w:fldCharType="end"/>
    </w:r>
  </w:p>
  <w:p w:rsidR="001B57DA" w:rsidRDefault="001B57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7DA" w:rsidRDefault="001B57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E0A77"/>
    <w:multiLevelType w:val="hybridMultilevel"/>
    <w:tmpl w:val="A25644F8"/>
    <w:lvl w:ilvl="0" w:tplc="04090011">
      <w:start w:val="1"/>
      <w:numFmt w:val="decimal"/>
      <w:lvlText w:val="%1)"/>
      <w:lvlJc w:val="left"/>
      <w:pPr>
        <w:ind w:left="720" w:hanging="360"/>
      </w:pPr>
    </w:lvl>
    <w:lvl w:ilvl="1" w:tplc="52B6A6AE">
      <w:start w:val="4"/>
      <w:numFmt w:val="bullet"/>
      <w:lvlText w:val="–"/>
      <w:lvlJc w:val="left"/>
      <w:pPr>
        <w:ind w:left="1440" w:hanging="360"/>
      </w:pPr>
      <w:rPr>
        <w:rFonts w:ascii="Times New Roman" w:eastAsia="Times New Roman" w:hAnsi="Times New Roman" w:cs="Times New Roman"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024341"/>
    <w:multiLevelType w:val="hybridMultilevel"/>
    <w:tmpl w:val="90466D2C"/>
    <w:lvl w:ilvl="0" w:tplc="BDCE36B0">
      <w:start w:val="4"/>
      <w:numFmt w:val="bullet"/>
      <w:lvlText w:val="–"/>
      <w:lvlJc w:val="left"/>
      <w:pPr>
        <w:ind w:left="1080" w:hanging="360"/>
      </w:pPr>
      <w:rPr>
        <w:rFonts w:ascii="Times New Roman" w:eastAsia="Times New Roman"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325F0C"/>
    <w:multiLevelType w:val="hybridMultilevel"/>
    <w:tmpl w:val="5FBC3A6C"/>
    <w:lvl w:ilvl="0" w:tplc="83B08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100D72"/>
    <w:multiLevelType w:val="hybridMultilevel"/>
    <w:tmpl w:val="E976E4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325210F"/>
    <w:multiLevelType w:val="hybridMultilevel"/>
    <w:tmpl w:val="F3E6659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0D12D9"/>
    <w:multiLevelType w:val="hybridMultilevel"/>
    <w:tmpl w:val="AAB20E9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15:restartNumberingAfterBreak="0">
    <w:nsid w:val="1C453782"/>
    <w:multiLevelType w:val="hybridMultilevel"/>
    <w:tmpl w:val="57106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E4C26"/>
    <w:multiLevelType w:val="hybridMultilevel"/>
    <w:tmpl w:val="6EF08B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2B5F4B"/>
    <w:multiLevelType w:val="hybridMultilevel"/>
    <w:tmpl w:val="FE6C01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737808"/>
    <w:multiLevelType w:val="hybridMultilevel"/>
    <w:tmpl w:val="CD26C8C0"/>
    <w:lvl w:ilvl="0" w:tplc="E2AC8198">
      <w:start w:val="1"/>
      <w:numFmt w:val="decimal"/>
      <w:lvlText w:val="%1."/>
      <w:lvlJc w:val="left"/>
      <w:pPr>
        <w:ind w:left="1211" w:hanging="360"/>
      </w:pPr>
      <w:rPr>
        <w:i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0" w15:restartNumberingAfterBreak="0">
    <w:nsid w:val="28B90B08"/>
    <w:multiLevelType w:val="hybridMultilevel"/>
    <w:tmpl w:val="DFC04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166927"/>
    <w:multiLevelType w:val="hybridMultilevel"/>
    <w:tmpl w:val="32E29620"/>
    <w:lvl w:ilvl="0" w:tplc="451CA46C">
      <w:start w:val="1"/>
      <w:numFmt w:val="decimal"/>
      <w:lvlText w:val="%1."/>
      <w:lvlJc w:val="left"/>
      <w:pPr>
        <w:ind w:left="1440" w:hanging="380"/>
      </w:pPr>
      <w:rPr>
        <w:rFonts w:hint="default"/>
      </w:r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12" w15:restartNumberingAfterBreak="0">
    <w:nsid w:val="3213413F"/>
    <w:multiLevelType w:val="hybridMultilevel"/>
    <w:tmpl w:val="8458B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359AC"/>
    <w:multiLevelType w:val="hybridMultilevel"/>
    <w:tmpl w:val="E592A90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BA73600"/>
    <w:multiLevelType w:val="hybridMultilevel"/>
    <w:tmpl w:val="3E163DE6"/>
    <w:lvl w:ilvl="0" w:tplc="04090011">
      <w:start w:val="1"/>
      <w:numFmt w:val="decimal"/>
      <w:lvlText w:val="%1)"/>
      <w:lvlJc w:val="left"/>
      <w:pPr>
        <w:ind w:left="-186" w:hanging="360"/>
      </w:pPr>
      <w:rPr>
        <w:rFonts w:hint="default"/>
      </w:rPr>
    </w:lvl>
    <w:lvl w:ilvl="1" w:tplc="241A0003" w:tentative="1">
      <w:start w:val="1"/>
      <w:numFmt w:val="bullet"/>
      <w:lvlText w:val="o"/>
      <w:lvlJc w:val="left"/>
      <w:pPr>
        <w:ind w:left="534" w:hanging="360"/>
      </w:pPr>
      <w:rPr>
        <w:rFonts w:ascii="Courier New" w:hAnsi="Courier New" w:cs="Courier New" w:hint="default"/>
      </w:rPr>
    </w:lvl>
    <w:lvl w:ilvl="2" w:tplc="241A0005" w:tentative="1">
      <w:start w:val="1"/>
      <w:numFmt w:val="bullet"/>
      <w:lvlText w:val=""/>
      <w:lvlJc w:val="left"/>
      <w:pPr>
        <w:ind w:left="1254" w:hanging="360"/>
      </w:pPr>
      <w:rPr>
        <w:rFonts w:ascii="Wingdings" w:hAnsi="Wingdings" w:hint="default"/>
      </w:rPr>
    </w:lvl>
    <w:lvl w:ilvl="3" w:tplc="241A0001" w:tentative="1">
      <w:start w:val="1"/>
      <w:numFmt w:val="bullet"/>
      <w:lvlText w:val=""/>
      <w:lvlJc w:val="left"/>
      <w:pPr>
        <w:ind w:left="1974" w:hanging="360"/>
      </w:pPr>
      <w:rPr>
        <w:rFonts w:ascii="Symbol" w:hAnsi="Symbol" w:hint="default"/>
      </w:rPr>
    </w:lvl>
    <w:lvl w:ilvl="4" w:tplc="241A0003" w:tentative="1">
      <w:start w:val="1"/>
      <w:numFmt w:val="bullet"/>
      <w:lvlText w:val="o"/>
      <w:lvlJc w:val="left"/>
      <w:pPr>
        <w:ind w:left="2694" w:hanging="360"/>
      </w:pPr>
      <w:rPr>
        <w:rFonts w:ascii="Courier New" w:hAnsi="Courier New" w:cs="Courier New" w:hint="default"/>
      </w:rPr>
    </w:lvl>
    <w:lvl w:ilvl="5" w:tplc="241A0005" w:tentative="1">
      <w:start w:val="1"/>
      <w:numFmt w:val="bullet"/>
      <w:lvlText w:val=""/>
      <w:lvlJc w:val="left"/>
      <w:pPr>
        <w:ind w:left="3414" w:hanging="360"/>
      </w:pPr>
      <w:rPr>
        <w:rFonts w:ascii="Wingdings" w:hAnsi="Wingdings" w:hint="default"/>
      </w:rPr>
    </w:lvl>
    <w:lvl w:ilvl="6" w:tplc="241A0001" w:tentative="1">
      <w:start w:val="1"/>
      <w:numFmt w:val="bullet"/>
      <w:lvlText w:val=""/>
      <w:lvlJc w:val="left"/>
      <w:pPr>
        <w:ind w:left="4134" w:hanging="360"/>
      </w:pPr>
      <w:rPr>
        <w:rFonts w:ascii="Symbol" w:hAnsi="Symbol" w:hint="default"/>
      </w:rPr>
    </w:lvl>
    <w:lvl w:ilvl="7" w:tplc="241A0003" w:tentative="1">
      <w:start w:val="1"/>
      <w:numFmt w:val="bullet"/>
      <w:lvlText w:val="o"/>
      <w:lvlJc w:val="left"/>
      <w:pPr>
        <w:ind w:left="4854" w:hanging="360"/>
      </w:pPr>
      <w:rPr>
        <w:rFonts w:ascii="Courier New" w:hAnsi="Courier New" w:cs="Courier New" w:hint="default"/>
      </w:rPr>
    </w:lvl>
    <w:lvl w:ilvl="8" w:tplc="241A0005" w:tentative="1">
      <w:start w:val="1"/>
      <w:numFmt w:val="bullet"/>
      <w:lvlText w:val=""/>
      <w:lvlJc w:val="left"/>
      <w:pPr>
        <w:ind w:left="5574" w:hanging="360"/>
      </w:pPr>
      <w:rPr>
        <w:rFonts w:ascii="Wingdings" w:hAnsi="Wingdings" w:hint="default"/>
      </w:rPr>
    </w:lvl>
  </w:abstractNum>
  <w:abstractNum w:abstractNumId="15" w15:restartNumberingAfterBreak="0">
    <w:nsid w:val="3C5B2442"/>
    <w:multiLevelType w:val="hybridMultilevel"/>
    <w:tmpl w:val="4EB4D474"/>
    <w:lvl w:ilvl="0" w:tplc="BDCE36B0">
      <w:start w:val="4"/>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B36C5E"/>
    <w:multiLevelType w:val="hybridMultilevel"/>
    <w:tmpl w:val="4C4E9E4A"/>
    <w:lvl w:ilvl="0" w:tplc="04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49370362"/>
    <w:multiLevelType w:val="hybridMultilevel"/>
    <w:tmpl w:val="044062B2"/>
    <w:lvl w:ilvl="0" w:tplc="29306A3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E2524"/>
    <w:multiLevelType w:val="hybridMultilevel"/>
    <w:tmpl w:val="04767048"/>
    <w:lvl w:ilvl="0" w:tplc="29306A3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6C7602"/>
    <w:multiLevelType w:val="hybridMultilevel"/>
    <w:tmpl w:val="6F769D54"/>
    <w:lvl w:ilvl="0" w:tplc="703E8F8C">
      <w:start w:val="3"/>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0C13AB8"/>
    <w:multiLevelType w:val="hybridMultilevel"/>
    <w:tmpl w:val="48543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8D1DD0"/>
    <w:multiLevelType w:val="hybridMultilevel"/>
    <w:tmpl w:val="DBD2CB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0852F5"/>
    <w:multiLevelType w:val="hybridMultilevel"/>
    <w:tmpl w:val="52D418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30094E"/>
    <w:multiLevelType w:val="hybridMultilevel"/>
    <w:tmpl w:val="E578B748"/>
    <w:lvl w:ilvl="0" w:tplc="06123552">
      <w:start w:val="1"/>
      <w:numFmt w:val="decimal"/>
      <w:lvlText w:val="%1."/>
      <w:lvlJc w:val="left"/>
      <w:pPr>
        <w:ind w:left="720" w:hanging="360"/>
      </w:pPr>
      <w:rPr>
        <w:rFonts w:ascii="Times New Roman" w:eastAsia="Times New Roman" w:hAnsi="Times New Roman" w:cs="Times New Roman"/>
        <w:b w:val="0"/>
        <w:color w:val="auto"/>
      </w:rPr>
    </w:lvl>
    <w:lvl w:ilvl="1" w:tplc="C5C0E08C">
      <w:start w:val="1"/>
      <w:numFmt w:val="lowerLetter"/>
      <w:lvlText w:val="%2."/>
      <w:lvlJc w:val="left"/>
      <w:pPr>
        <w:ind w:left="1440" w:hanging="360"/>
      </w:pPr>
      <w:rPr>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1A77C6"/>
    <w:multiLevelType w:val="hybridMultilevel"/>
    <w:tmpl w:val="61F8C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7E288F"/>
    <w:multiLevelType w:val="hybridMultilevel"/>
    <w:tmpl w:val="7744F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E2406D"/>
    <w:multiLevelType w:val="hybridMultilevel"/>
    <w:tmpl w:val="82706594"/>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7" w15:restartNumberingAfterBreak="0">
    <w:nsid w:val="636F55D4"/>
    <w:multiLevelType w:val="hybridMultilevel"/>
    <w:tmpl w:val="D166F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5715C2"/>
    <w:multiLevelType w:val="hybridMultilevel"/>
    <w:tmpl w:val="3ADC79BE"/>
    <w:lvl w:ilvl="0" w:tplc="6992956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7438BA"/>
    <w:multiLevelType w:val="hybridMultilevel"/>
    <w:tmpl w:val="E00844BE"/>
    <w:lvl w:ilvl="0" w:tplc="A920B6B0">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8D2C6D"/>
    <w:multiLevelType w:val="hybridMultilevel"/>
    <w:tmpl w:val="32EE5E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E41B77"/>
    <w:multiLevelType w:val="hybridMultilevel"/>
    <w:tmpl w:val="D4FA2CC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A0A4C7B"/>
    <w:multiLevelType w:val="hybridMultilevel"/>
    <w:tmpl w:val="A08C97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E5841"/>
    <w:multiLevelType w:val="hybridMultilevel"/>
    <w:tmpl w:val="171ABC32"/>
    <w:lvl w:ilvl="0" w:tplc="6742D572">
      <w:start w:val="1"/>
      <w:numFmt w:val="decimal"/>
      <w:lvlText w:val="%1."/>
      <w:lvlJc w:val="left"/>
      <w:pPr>
        <w:ind w:left="717" w:hanging="360"/>
      </w:pPr>
      <w:rPr>
        <w:rFonts w:ascii="Times New Roman" w:eastAsia="Times New Roman" w:hAnsi="Times New Roman" w:cs="Times New Roman"/>
        <w:color w:val="auto"/>
      </w:rPr>
    </w:lvl>
    <w:lvl w:ilvl="1" w:tplc="281A0019" w:tentative="1">
      <w:start w:val="1"/>
      <w:numFmt w:val="lowerLetter"/>
      <w:lvlText w:val="%2."/>
      <w:lvlJc w:val="left"/>
      <w:pPr>
        <w:ind w:left="1437" w:hanging="360"/>
      </w:pPr>
    </w:lvl>
    <w:lvl w:ilvl="2" w:tplc="281A001B" w:tentative="1">
      <w:start w:val="1"/>
      <w:numFmt w:val="lowerRoman"/>
      <w:lvlText w:val="%3."/>
      <w:lvlJc w:val="right"/>
      <w:pPr>
        <w:ind w:left="2157" w:hanging="180"/>
      </w:pPr>
    </w:lvl>
    <w:lvl w:ilvl="3" w:tplc="281A000F" w:tentative="1">
      <w:start w:val="1"/>
      <w:numFmt w:val="decimal"/>
      <w:lvlText w:val="%4."/>
      <w:lvlJc w:val="left"/>
      <w:pPr>
        <w:ind w:left="2877" w:hanging="360"/>
      </w:pPr>
    </w:lvl>
    <w:lvl w:ilvl="4" w:tplc="281A0019" w:tentative="1">
      <w:start w:val="1"/>
      <w:numFmt w:val="lowerLetter"/>
      <w:lvlText w:val="%5."/>
      <w:lvlJc w:val="left"/>
      <w:pPr>
        <w:ind w:left="3597" w:hanging="360"/>
      </w:pPr>
    </w:lvl>
    <w:lvl w:ilvl="5" w:tplc="281A001B" w:tentative="1">
      <w:start w:val="1"/>
      <w:numFmt w:val="lowerRoman"/>
      <w:lvlText w:val="%6."/>
      <w:lvlJc w:val="right"/>
      <w:pPr>
        <w:ind w:left="4317" w:hanging="180"/>
      </w:pPr>
    </w:lvl>
    <w:lvl w:ilvl="6" w:tplc="281A000F" w:tentative="1">
      <w:start w:val="1"/>
      <w:numFmt w:val="decimal"/>
      <w:lvlText w:val="%7."/>
      <w:lvlJc w:val="left"/>
      <w:pPr>
        <w:ind w:left="5037" w:hanging="360"/>
      </w:pPr>
    </w:lvl>
    <w:lvl w:ilvl="7" w:tplc="281A0019" w:tentative="1">
      <w:start w:val="1"/>
      <w:numFmt w:val="lowerLetter"/>
      <w:lvlText w:val="%8."/>
      <w:lvlJc w:val="left"/>
      <w:pPr>
        <w:ind w:left="5757" w:hanging="360"/>
      </w:pPr>
    </w:lvl>
    <w:lvl w:ilvl="8" w:tplc="281A001B" w:tentative="1">
      <w:start w:val="1"/>
      <w:numFmt w:val="lowerRoman"/>
      <w:lvlText w:val="%9."/>
      <w:lvlJc w:val="right"/>
      <w:pPr>
        <w:ind w:left="6477" w:hanging="180"/>
      </w:pPr>
    </w:lvl>
  </w:abstractNum>
  <w:abstractNum w:abstractNumId="34" w15:restartNumberingAfterBreak="0">
    <w:nsid w:val="6DB62927"/>
    <w:multiLevelType w:val="hybridMultilevel"/>
    <w:tmpl w:val="3B64B6EC"/>
    <w:lvl w:ilvl="0" w:tplc="B2F86C96">
      <w:start w:val="1"/>
      <w:numFmt w:val="bullet"/>
      <w:lvlText w:val="-"/>
      <w:lvlJc w:val="left"/>
      <w:pPr>
        <w:ind w:left="1080" w:hanging="360"/>
      </w:pPr>
      <w:rPr>
        <w:rFonts w:ascii="Times New Roman" w:eastAsia="Times New Roman" w:hAnsi="Times New Roman" w:cs="Times New Roman"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E4E6F05"/>
    <w:multiLevelType w:val="hybridMultilevel"/>
    <w:tmpl w:val="D6F4F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374E6"/>
    <w:multiLevelType w:val="hybridMultilevel"/>
    <w:tmpl w:val="FE906CA8"/>
    <w:lvl w:ilvl="0" w:tplc="DB469288">
      <w:start w:val="1"/>
      <w:numFmt w:val="decimal"/>
      <w:lvlText w:val="%1."/>
      <w:lvlJc w:val="left"/>
      <w:pPr>
        <w:tabs>
          <w:tab w:val="num" w:pos="1785"/>
        </w:tabs>
        <w:ind w:left="1785" w:hanging="10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28C4084"/>
    <w:multiLevelType w:val="hybridMultilevel"/>
    <w:tmpl w:val="8A2641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3607FA"/>
    <w:multiLevelType w:val="multilevel"/>
    <w:tmpl w:val="C47C62E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8483D19"/>
    <w:multiLevelType w:val="hybridMultilevel"/>
    <w:tmpl w:val="DBE2F814"/>
    <w:lvl w:ilvl="0" w:tplc="F7F40F0E">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940589"/>
    <w:multiLevelType w:val="hybridMultilevel"/>
    <w:tmpl w:val="F32EDE4E"/>
    <w:lvl w:ilvl="0" w:tplc="E9BA4432">
      <w:numFmt w:val="bullet"/>
      <w:lvlText w:val="-"/>
      <w:lvlJc w:val="left"/>
      <w:pPr>
        <w:tabs>
          <w:tab w:val="num" w:pos="720"/>
        </w:tabs>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B6C350E"/>
    <w:multiLevelType w:val="hybridMultilevel"/>
    <w:tmpl w:val="4B927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9112D8"/>
    <w:multiLevelType w:val="hybridMultilevel"/>
    <w:tmpl w:val="39E68394"/>
    <w:lvl w:ilvl="0" w:tplc="0756C040">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D7B1858"/>
    <w:multiLevelType w:val="hybridMultilevel"/>
    <w:tmpl w:val="19C4C046"/>
    <w:lvl w:ilvl="0" w:tplc="0409000D">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7DB143EC"/>
    <w:multiLevelType w:val="hybridMultilevel"/>
    <w:tmpl w:val="1B5E65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DB907D7"/>
    <w:multiLevelType w:val="hybridMultilevel"/>
    <w:tmpl w:val="F266EC78"/>
    <w:lvl w:ilvl="0" w:tplc="BF2ED0E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E74A42"/>
    <w:multiLevelType w:val="hybridMultilevel"/>
    <w:tmpl w:val="1BEA53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AA203D"/>
    <w:multiLevelType w:val="hybridMultilevel"/>
    <w:tmpl w:val="1820DF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3"/>
  </w:num>
  <w:num w:numId="3">
    <w:abstractNumId w:val="19"/>
  </w:num>
  <w:num w:numId="4">
    <w:abstractNumId w:val="34"/>
  </w:num>
  <w:num w:numId="5">
    <w:abstractNumId w:val="33"/>
  </w:num>
  <w:num w:numId="6">
    <w:abstractNumId w:val="11"/>
  </w:num>
  <w:num w:numId="7">
    <w:abstractNumId w:val="9"/>
  </w:num>
  <w:num w:numId="8">
    <w:abstractNumId w:val="26"/>
  </w:num>
  <w:num w:numId="9">
    <w:abstractNumId w:val="42"/>
  </w:num>
  <w:num w:numId="10">
    <w:abstractNumId w:val="39"/>
  </w:num>
  <w:num w:numId="11">
    <w:abstractNumId w:val="21"/>
  </w:num>
  <w:num w:numId="12">
    <w:abstractNumId w:val="36"/>
  </w:num>
  <w:num w:numId="13">
    <w:abstractNumId w:val="44"/>
  </w:num>
  <w:num w:numId="14">
    <w:abstractNumId w:val="40"/>
  </w:num>
  <w:num w:numId="15">
    <w:abstractNumId w:val="18"/>
  </w:num>
  <w:num w:numId="16">
    <w:abstractNumId w:val="30"/>
  </w:num>
  <w:num w:numId="17">
    <w:abstractNumId w:val="31"/>
  </w:num>
  <w:num w:numId="18">
    <w:abstractNumId w:val="5"/>
  </w:num>
  <w:num w:numId="19">
    <w:abstractNumId w:val="17"/>
  </w:num>
  <w:num w:numId="20">
    <w:abstractNumId w:val="4"/>
  </w:num>
  <w:num w:numId="21">
    <w:abstractNumId w:val="7"/>
  </w:num>
  <w:num w:numId="22">
    <w:abstractNumId w:val="32"/>
  </w:num>
  <w:num w:numId="23">
    <w:abstractNumId w:val="22"/>
  </w:num>
  <w:num w:numId="24">
    <w:abstractNumId w:val="8"/>
  </w:num>
  <w:num w:numId="25">
    <w:abstractNumId w:val="47"/>
  </w:num>
  <w:num w:numId="26">
    <w:abstractNumId w:val="13"/>
  </w:num>
  <w:num w:numId="27">
    <w:abstractNumId w:val="3"/>
  </w:num>
  <w:num w:numId="28">
    <w:abstractNumId w:val="16"/>
  </w:num>
  <w:num w:numId="29">
    <w:abstractNumId w:val="2"/>
  </w:num>
  <w:num w:numId="30">
    <w:abstractNumId w:val="45"/>
  </w:num>
  <w:num w:numId="31">
    <w:abstractNumId w:val="10"/>
  </w:num>
  <w:num w:numId="32">
    <w:abstractNumId w:val="14"/>
  </w:num>
  <w:num w:numId="33">
    <w:abstractNumId w:val="27"/>
  </w:num>
  <w:num w:numId="34">
    <w:abstractNumId w:val="41"/>
  </w:num>
  <w:num w:numId="35">
    <w:abstractNumId w:val="0"/>
  </w:num>
  <w:num w:numId="36">
    <w:abstractNumId w:val="25"/>
  </w:num>
  <w:num w:numId="37">
    <w:abstractNumId w:val="15"/>
  </w:num>
  <w:num w:numId="38">
    <w:abstractNumId w:val="1"/>
  </w:num>
  <w:num w:numId="39">
    <w:abstractNumId w:val="6"/>
  </w:num>
  <w:num w:numId="40">
    <w:abstractNumId w:val="46"/>
  </w:num>
  <w:num w:numId="41">
    <w:abstractNumId w:val="28"/>
  </w:num>
  <w:num w:numId="42">
    <w:abstractNumId w:val="24"/>
  </w:num>
  <w:num w:numId="43">
    <w:abstractNumId w:val="35"/>
  </w:num>
  <w:num w:numId="44">
    <w:abstractNumId w:val="43"/>
  </w:num>
  <w:num w:numId="45">
    <w:abstractNumId w:val="37"/>
  </w:num>
  <w:num w:numId="46">
    <w:abstractNumId w:val="29"/>
  </w:num>
  <w:num w:numId="47">
    <w:abstractNumId w:val="12"/>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563"/>
    <w:rsid w:val="0000186F"/>
    <w:rsid w:val="0001391A"/>
    <w:rsid w:val="00013AE0"/>
    <w:rsid w:val="00022477"/>
    <w:rsid w:val="000738A3"/>
    <w:rsid w:val="000859A6"/>
    <w:rsid w:val="000A5795"/>
    <w:rsid w:val="0010778F"/>
    <w:rsid w:val="00136480"/>
    <w:rsid w:val="0014017E"/>
    <w:rsid w:val="0014527E"/>
    <w:rsid w:val="0015273E"/>
    <w:rsid w:val="001601E0"/>
    <w:rsid w:val="00195D46"/>
    <w:rsid w:val="001B57DA"/>
    <w:rsid w:val="001B59D1"/>
    <w:rsid w:val="001E16F0"/>
    <w:rsid w:val="0023346C"/>
    <w:rsid w:val="0023434E"/>
    <w:rsid w:val="00244974"/>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B7BBF"/>
    <w:rsid w:val="003C50FC"/>
    <w:rsid w:val="003C67F4"/>
    <w:rsid w:val="003D0A1B"/>
    <w:rsid w:val="00415F00"/>
    <w:rsid w:val="00436980"/>
    <w:rsid w:val="00456F0C"/>
    <w:rsid w:val="004913C5"/>
    <w:rsid w:val="004B09D0"/>
    <w:rsid w:val="004B4D18"/>
    <w:rsid w:val="004C0FD2"/>
    <w:rsid w:val="004D09B4"/>
    <w:rsid w:val="00507CB9"/>
    <w:rsid w:val="0053719F"/>
    <w:rsid w:val="005542ED"/>
    <w:rsid w:val="005927D0"/>
    <w:rsid w:val="005A63A7"/>
    <w:rsid w:val="005B0ED9"/>
    <w:rsid w:val="005E53AB"/>
    <w:rsid w:val="005F6170"/>
    <w:rsid w:val="00604B75"/>
    <w:rsid w:val="006105CD"/>
    <w:rsid w:val="006142FF"/>
    <w:rsid w:val="00615D09"/>
    <w:rsid w:val="00625A83"/>
    <w:rsid w:val="0065404E"/>
    <w:rsid w:val="006A6C33"/>
    <w:rsid w:val="006D39D1"/>
    <w:rsid w:val="006D3C40"/>
    <w:rsid w:val="006E0524"/>
    <w:rsid w:val="007175BA"/>
    <w:rsid w:val="00727076"/>
    <w:rsid w:val="0073785A"/>
    <w:rsid w:val="00745B33"/>
    <w:rsid w:val="007969CD"/>
    <w:rsid w:val="007A46FC"/>
    <w:rsid w:val="007A4CE3"/>
    <w:rsid w:val="007A70C8"/>
    <w:rsid w:val="007E3538"/>
    <w:rsid w:val="00812694"/>
    <w:rsid w:val="0084026E"/>
    <w:rsid w:val="00871F72"/>
    <w:rsid w:val="008A6B15"/>
    <w:rsid w:val="008A6BB5"/>
    <w:rsid w:val="008D76AC"/>
    <w:rsid w:val="00906FF4"/>
    <w:rsid w:val="0092735D"/>
    <w:rsid w:val="00935687"/>
    <w:rsid w:val="00944BD4"/>
    <w:rsid w:val="009535FA"/>
    <w:rsid w:val="00960467"/>
    <w:rsid w:val="00963FD6"/>
    <w:rsid w:val="00966ADC"/>
    <w:rsid w:val="009B0951"/>
    <w:rsid w:val="009E01A4"/>
    <w:rsid w:val="009E0A38"/>
    <w:rsid w:val="00A00F88"/>
    <w:rsid w:val="00A244DC"/>
    <w:rsid w:val="00A30218"/>
    <w:rsid w:val="00A561DB"/>
    <w:rsid w:val="00A82B08"/>
    <w:rsid w:val="00AB2AD1"/>
    <w:rsid w:val="00AD4302"/>
    <w:rsid w:val="00AE64D6"/>
    <w:rsid w:val="00B06ABF"/>
    <w:rsid w:val="00B230D6"/>
    <w:rsid w:val="00B512CA"/>
    <w:rsid w:val="00B97864"/>
    <w:rsid w:val="00BA49A3"/>
    <w:rsid w:val="00C00360"/>
    <w:rsid w:val="00C0127D"/>
    <w:rsid w:val="00C426A4"/>
    <w:rsid w:val="00C86F42"/>
    <w:rsid w:val="00CA12DE"/>
    <w:rsid w:val="00CC5563"/>
    <w:rsid w:val="00CE0AAE"/>
    <w:rsid w:val="00CE29F4"/>
    <w:rsid w:val="00CE5A6E"/>
    <w:rsid w:val="00D128E7"/>
    <w:rsid w:val="00D22A73"/>
    <w:rsid w:val="00D27DDB"/>
    <w:rsid w:val="00D412C2"/>
    <w:rsid w:val="00D44434"/>
    <w:rsid w:val="00D619AC"/>
    <w:rsid w:val="00D741B4"/>
    <w:rsid w:val="00D9517F"/>
    <w:rsid w:val="00DC1AFE"/>
    <w:rsid w:val="00DF468A"/>
    <w:rsid w:val="00E4688B"/>
    <w:rsid w:val="00EB4808"/>
    <w:rsid w:val="00EC6B9A"/>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23E1D8"/>
  <w15:chartTrackingRefBased/>
  <w15:docId w15:val="{32F94E0E-AF88-455F-AA9E-B71F99B64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7DA"/>
    <w:rPr>
      <w:sz w:val="24"/>
      <w:szCs w:val="24"/>
    </w:rPr>
  </w:style>
  <w:style w:type="paragraph" w:styleId="Heading1">
    <w:name w:val="heading 1"/>
    <w:basedOn w:val="Normal"/>
    <w:link w:val="Heading1Char"/>
    <w:uiPriority w:val="9"/>
    <w:qFormat/>
    <w:rsid w:val="001B57DA"/>
    <w:pPr>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57DA"/>
    <w:pPr>
      <w:tabs>
        <w:tab w:val="center" w:pos="4680"/>
        <w:tab w:val="right" w:pos="9360"/>
      </w:tabs>
    </w:pPr>
  </w:style>
  <w:style w:type="character" w:customStyle="1" w:styleId="HeaderChar">
    <w:name w:val="Header Char"/>
    <w:basedOn w:val="DefaultParagraphFont"/>
    <w:link w:val="Header"/>
    <w:rsid w:val="001B57DA"/>
    <w:rPr>
      <w:sz w:val="24"/>
      <w:szCs w:val="24"/>
    </w:rPr>
  </w:style>
  <w:style w:type="paragraph" w:styleId="Footer">
    <w:name w:val="footer"/>
    <w:basedOn w:val="Normal"/>
    <w:link w:val="FooterChar"/>
    <w:uiPriority w:val="99"/>
    <w:rsid w:val="001B57DA"/>
    <w:pPr>
      <w:tabs>
        <w:tab w:val="center" w:pos="4680"/>
        <w:tab w:val="right" w:pos="9360"/>
      </w:tabs>
    </w:pPr>
  </w:style>
  <w:style w:type="character" w:customStyle="1" w:styleId="FooterChar">
    <w:name w:val="Footer Char"/>
    <w:basedOn w:val="DefaultParagraphFont"/>
    <w:link w:val="Footer"/>
    <w:uiPriority w:val="99"/>
    <w:rsid w:val="001B57DA"/>
    <w:rPr>
      <w:sz w:val="24"/>
      <w:szCs w:val="24"/>
    </w:rPr>
  </w:style>
  <w:style w:type="character" w:styleId="PageNumber">
    <w:name w:val="page number"/>
    <w:basedOn w:val="DefaultParagraphFont"/>
    <w:rsid w:val="001B57DA"/>
  </w:style>
  <w:style w:type="paragraph" w:styleId="ListParagraph">
    <w:name w:val="List Paragraph"/>
    <w:aliases w:val="Citation List,본문(내용),List Paragraph (numbered (a)),Colorful List - Accent 11,Bullet List,FooterText,List Paragraph1,Colorful List Accent 1,numbered,Paragraphe de liste1,列出段落,列出段落1,Bulletr List Paragraph,List Paragraph2,List Paragraph21"/>
    <w:basedOn w:val="Normal"/>
    <w:link w:val="ListParagraphChar"/>
    <w:uiPriority w:val="34"/>
    <w:qFormat/>
    <w:rsid w:val="001B57DA"/>
    <w:pPr>
      <w:spacing w:after="160" w:line="259" w:lineRule="auto"/>
      <w:ind w:left="720"/>
      <w:contextualSpacing/>
    </w:pPr>
    <w:rPr>
      <w:rFonts w:ascii="Calibri" w:eastAsia="Calibri" w:hAnsi="Calibri" w:cs="Calibri"/>
      <w:sz w:val="22"/>
      <w:szCs w:val="22"/>
      <w:lang w:val="en-GB"/>
    </w:rPr>
  </w:style>
  <w:style w:type="character" w:customStyle="1" w:styleId="ListParagraphChar">
    <w:name w:val="List Paragraph Char"/>
    <w:aliases w:val="Citation List Char,본문(내용) Char,List Paragraph (numbered (a)) Char,Colorful List - Accent 11 Char,Bullet List Char,FooterText Char,List Paragraph1 Char,Colorful List Accent 1 Char,numbered Char,Paragraphe de liste1 Char,列出段落 Char"/>
    <w:link w:val="ListParagraph"/>
    <w:uiPriority w:val="34"/>
    <w:rsid w:val="001B57DA"/>
    <w:rPr>
      <w:rFonts w:ascii="Calibri" w:eastAsia="Calibri" w:hAnsi="Calibri" w:cs="Calibri"/>
      <w:sz w:val="22"/>
      <w:szCs w:val="22"/>
      <w:lang w:val="en-GB"/>
    </w:rPr>
  </w:style>
  <w:style w:type="character" w:customStyle="1" w:styleId="Heading1Char">
    <w:name w:val="Heading 1 Char"/>
    <w:basedOn w:val="DefaultParagraphFont"/>
    <w:link w:val="Heading1"/>
    <w:uiPriority w:val="9"/>
    <w:rsid w:val="001B57DA"/>
    <w:rPr>
      <w:b/>
      <w:bCs/>
      <w:kern w:val="36"/>
      <w:sz w:val="48"/>
      <w:szCs w:val="48"/>
    </w:rPr>
  </w:style>
  <w:style w:type="paragraph" w:styleId="FootnoteText">
    <w:name w:val="footnote text"/>
    <w:aliases w:val="Footnote Text Char1 Char,Footnote Text Char Char Char Char Char,Footnote Text Char Char Char1 Char,Footnote Text Char Char1 Char,single space Char Char,ft Char Char,Footnote Text Char Char Char"/>
    <w:basedOn w:val="Normal"/>
    <w:link w:val="FootnoteTextChar1"/>
    <w:rsid w:val="001B57DA"/>
    <w:rPr>
      <w:sz w:val="20"/>
      <w:szCs w:val="20"/>
    </w:rPr>
  </w:style>
  <w:style w:type="character" w:customStyle="1" w:styleId="FootnoteTextChar">
    <w:name w:val="Footnote Text Char"/>
    <w:basedOn w:val="DefaultParagraphFont"/>
    <w:uiPriority w:val="99"/>
    <w:rsid w:val="001B57DA"/>
  </w:style>
  <w:style w:type="character" w:styleId="FootnoteReference">
    <w:name w:val="footnote reference"/>
    <w:rsid w:val="001B57DA"/>
    <w:rPr>
      <w:vertAlign w:val="superscript"/>
    </w:rPr>
  </w:style>
  <w:style w:type="character" w:styleId="Hyperlink">
    <w:name w:val="Hyperlink"/>
    <w:rsid w:val="001B57DA"/>
    <w:rPr>
      <w:color w:val="0000FF"/>
      <w:u w:val="single"/>
    </w:rPr>
  </w:style>
  <w:style w:type="character" w:customStyle="1" w:styleId="expand1">
    <w:name w:val="expand1"/>
    <w:rsid w:val="001B57DA"/>
    <w:rPr>
      <w:rFonts w:ascii="Arial" w:hAnsi="Arial" w:cs="Arial" w:hint="default"/>
      <w:i w:val="0"/>
      <w:iCs w:val="0"/>
      <w:vanish/>
      <w:webHidden w:val="0"/>
      <w:sz w:val="27"/>
      <w:szCs w:val="27"/>
      <w:specVanish w:val="0"/>
    </w:rPr>
  </w:style>
  <w:style w:type="table" w:styleId="TableGrid">
    <w:name w:val="Table Grid"/>
    <w:basedOn w:val="TableNormal"/>
    <w:uiPriority w:val="39"/>
    <w:rsid w:val="001B5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Char Char Char Char Char Char Char Char Char Char"/>
    <w:basedOn w:val="Normal"/>
    <w:rsid w:val="001B57DA"/>
    <w:pPr>
      <w:spacing w:after="160" w:line="240" w:lineRule="exact"/>
    </w:pPr>
    <w:rPr>
      <w:rFonts w:ascii="Verdana" w:hAnsi="Verdana"/>
      <w:sz w:val="20"/>
      <w:szCs w:val="20"/>
    </w:rPr>
  </w:style>
  <w:style w:type="character" w:customStyle="1" w:styleId="FootnoteTextChar1">
    <w:name w:val="Footnote Text Char1"/>
    <w:aliases w:val="Footnote Text Char Char,Footnote Text Char1 Char Char,Footnote Text Char Char Char Char Char Char,Footnote Text Char Char Char1 Char Char,Footnote Text Char Char1 Char Char,single space Char Char Char,ft Char Char Char"/>
    <w:link w:val="FootnoteText"/>
    <w:rsid w:val="001B57DA"/>
  </w:style>
  <w:style w:type="paragraph" w:styleId="NormalWeb">
    <w:name w:val="Normal (Web)"/>
    <w:basedOn w:val="Normal"/>
    <w:uiPriority w:val="99"/>
    <w:rsid w:val="001B57DA"/>
    <w:pPr>
      <w:spacing w:before="100" w:beforeAutospacing="1" w:after="100" w:afterAutospacing="1"/>
    </w:pPr>
    <w:rPr>
      <w:rFonts w:ascii="Verdana" w:hAnsi="Verdana"/>
      <w:sz w:val="20"/>
      <w:szCs w:val="20"/>
      <w:lang w:val="sr-Cyrl-CS" w:eastAsia="sr-Cyrl-CS"/>
    </w:rPr>
  </w:style>
  <w:style w:type="paragraph" w:customStyle="1" w:styleId="podnaslov">
    <w:name w:val="podnaslov"/>
    <w:basedOn w:val="Normal"/>
    <w:rsid w:val="001B57DA"/>
    <w:pPr>
      <w:spacing w:before="100" w:beforeAutospacing="1" w:after="100" w:afterAutospacing="1"/>
    </w:pPr>
    <w:rPr>
      <w:rFonts w:ascii="Verdana" w:hAnsi="Verdana"/>
      <w:sz w:val="20"/>
      <w:szCs w:val="20"/>
      <w:lang w:val="sr-Cyrl-CS" w:eastAsia="sr-Cyrl-CS"/>
    </w:rPr>
  </w:style>
  <w:style w:type="paragraph" w:customStyle="1" w:styleId="naslov">
    <w:name w:val="naslov"/>
    <w:basedOn w:val="Normal"/>
    <w:rsid w:val="001B57DA"/>
    <w:pPr>
      <w:spacing w:before="100" w:beforeAutospacing="1" w:after="100" w:afterAutospacing="1"/>
    </w:pPr>
    <w:rPr>
      <w:rFonts w:ascii="Verdana" w:hAnsi="Verdana"/>
      <w:sz w:val="20"/>
      <w:szCs w:val="20"/>
      <w:lang w:val="sr-Cyrl-CS" w:eastAsia="sr-Cyrl-CS"/>
    </w:rPr>
  </w:style>
  <w:style w:type="paragraph" w:customStyle="1" w:styleId="clan">
    <w:name w:val="clan"/>
    <w:basedOn w:val="Normal"/>
    <w:rsid w:val="001B57DA"/>
    <w:pPr>
      <w:spacing w:before="100" w:beforeAutospacing="1" w:after="100" w:afterAutospacing="1"/>
    </w:pPr>
    <w:rPr>
      <w:rFonts w:ascii="Verdana" w:hAnsi="Verdana"/>
      <w:sz w:val="20"/>
      <w:szCs w:val="20"/>
      <w:lang w:val="sr-Cyrl-CS" w:eastAsia="sr-Cyrl-CS"/>
    </w:rPr>
  </w:style>
  <w:style w:type="paragraph" w:customStyle="1" w:styleId="Char1CharCharCharCharCharCharCharCharCharCharCharCharCharCharCharCharCharCharCharCharCharCharChar1CharCharCharChar">
    <w:name w:val="Char1 Char Char Char Char Char Char Char Char Char Char Char Char Char Char Char Char Char Char Char Char Char Char Char1 Char Char Char Char"/>
    <w:basedOn w:val="Normal"/>
    <w:next w:val="Normal"/>
    <w:autoRedefine/>
    <w:semiHidden/>
    <w:rsid w:val="001B57DA"/>
    <w:rPr>
      <w:rFonts w:ascii="Arial" w:hAnsi="Arial"/>
      <w:sz w:val="20"/>
      <w:szCs w:val="20"/>
      <w:lang w:val="sl-SI"/>
    </w:rPr>
  </w:style>
  <w:style w:type="paragraph" w:styleId="BalloonText">
    <w:name w:val="Balloon Text"/>
    <w:basedOn w:val="Normal"/>
    <w:link w:val="BalloonTextChar"/>
    <w:rsid w:val="001B57DA"/>
    <w:rPr>
      <w:rFonts w:ascii="Tahoma" w:hAnsi="Tahoma" w:cs="Tahoma"/>
      <w:sz w:val="16"/>
      <w:szCs w:val="16"/>
    </w:rPr>
  </w:style>
  <w:style w:type="character" w:customStyle="1" w:styleId="BalloonTextChar">
    <w:name w:val="Balloon Text Char"/>
    <w:basedOn w:val="DefaultParagraphFont"/>
    <w:link w:val="BalloonText"/>
    <w:rsid w:val="001B57DA"/>
    <w:rPr>
      <w:rFonts w:ascii="Tahoma" w:hAnsi="Tahoma" w:cs="Tahoma"/>
      <w:sz w:val="16"/>
      <w:szCs w:val="16"/>
    </w:rPr>
  </w:style>
  <w:style w:type="character" w:customStyle="1" w:styleId="apple-style-span">
    <w:name w:val="apple-style-span"/>
    <w:basedOn w:val="DefaultParagraphFont"/>
    <w:rsid w:val="001B57DA"/>
  </w:style>
  <w:style w:type="character" w:customStyle="1" w:styleId="apple-converted-space">
    <w:name w:val="apple-converted-space"/>
    <w:basedOn w:val="DefaultParagraphFont"/>
    <w:rsid w:val="001B57DA"/>
  </w:style>
  <w:style w:type="paragraph" w:customStyle="1" w:styleId="podnaslovpropisa">
    <w:name w:val="podnaslovpropisa"/>
    <w:basedOn w:val="Normal"/>
    <w:rsid w:val="001B57DA"/>
    <w:pPr>
      <w:shd w:val="clear" w:color="auto" w:fill="000000"/>
      <w:spacing w:before="100" w:beforeAutospacing="1" w:after="100" w:afterAutospacing="1"/>
      <w:jc w:val="center"/>
    </w:pPr>
    <w:rPr>
      <w:rFonts w:ascii="Arial" w:hAnsi="Arial" w:cs="Arial"/>
      <w:i/>
      <w:iCs/>
      <w:color w:val="FFE8BF"/>
      <w:sz w:val="26"/>
      <w:szCs w:val="26"/>
    </w:rPr>
  </w:style>
  <w:style w:type="character" w:customStyle="1" w:styleId="datum1">
    <w:name w:val="datum1"/>
    <w:rsid w:val="001B57DA"/>
    <w:rPr>
      <w:vanish w:val="0"/>
      <w:webHidden w:val="0"/>
      <w:color w:val="999999"/>
      <w:sz w:val="19"/>
      <w:szCs w:val="19"/>
      <w:specVanish w:val="0"/>
    </w:rPr>
  </w:style>
  <w:style w:type="character" w:customStyle="1" w:styleId="obelezeno1">
    <w:name w:val="obelezeno1"/>
    <w:rsid w:val="001B57DA"/>
    <w:rPr>
      <w:b/>
      <w:bCs/>
      <w:color w:val="C01414"/>
    </w:rPr>
  </w:style>
  <w:style w:type="paragraph" w:customStyle="1" w:styleId="Naslov0">
    <w:name w:val="Naslov"/>
    <w:basedOn w:val="Normal"/>
    <w:rsid w:val="001B57DA"/>
    <w:pPr>
      <w:keepNext/>
      <w:spacing w:before="240" w:after="360"/>
      <w:ind w:left="720" w:right="720"/>
      <w:jc w:val="center"/>
    </w:pPr>
    <w:rPr>
      <w:rFonts w:ascii="Helv Ciril" w:hAnsi="Helv Ciril"/>
      <w:b/>
      <w:caps/>
      <w:sz w:val="26"/>
      <w:szCs w:val="20"/>
    </w:rPr>
  </w:style>
  <w:style w:type="paragraph" w:customStyle="1" w:styleId="CharCharCharCharCharChar">
    <w:name w:val="Char Char Char Char Char Char"/>
    <w:basedOn w:val="Normal"/>
    <w:semiHidden/>
    <w:rsid w:val="001B57DA"/>
    <w:pPr>
      <w:spacing w:after="160" w:line="240" w:lineRule="exact"/>
    </w:pPr>
    <w:rPr>
      <w:rFonts w:ascii="Tahoma" w:hAnsi="Tahoma"/>
      <w:sz w:val="20"/>
      <w:szCs w:val="20"/>
    </w:rPr>
  </w:style>
  <w:style w:type="paragraph" w:customStyle="1" w:styleId="Normal1">
    <w:name w:val="Normal1"/>
    <w:basedOn w:val="Normal"/>
    <w:rsid w:val="001B57DA"/>
    <w:pPr>
      <w:spacing w:before="100" w:beforeAutospacing="1" w:after="100" w:afterAutospacing="1"/>
    </w:pPr>
    <w:rPr>
      <w:rFonts w:ascii="Arial" w:hAnsi="Arial" w:cs="Arial"/>
      <w:sz w:val="22"/>
      <w:szCs w:val="22"/>
    </w:rPr>
  </w:style>
  <w:style w:type="paragraph" w:styleId="BodyText">
    <w:name w:val="Body Text"/>
    <w:basedOn w:val="Normal"/>
    <w:link w:val="BodyTextChar"/>
    <w:rsid w:val="001B57DA"/>
    <w:pPr>
      <w:jc w:val="center"/>
    </w:pPr>
    <w:rPr>
      <w:b/>
      <w:bCs/>
      <w:lang w:val="sr-Cyrl-CS"/>
    </w:rPr>
  </w:style>
  <w:style w:type="character" w:customStyle="1" w:styleId="BodyTextChar">
    <w:name w:val="Body Text Char"/>
    <w:basedOn w:val="DefaultParagraphFont"/>
    <w:link w:val="BodyText"/>
    <w:rsid w:val="001B57DA"/>
    <w:rPr>
      <w:b/>
      <w:bCs/>
      <w:sz w:val="24"/>
      <w:szCs w:val="24"/>
      <w:lang w:val="sr-Cyrl-CS"/>
    </w:rPr>
  </w:style>
  <w:style w:type="paragraph" w:styleId="NoSpacing">
    <w:name w:val="No Spacing"/>
    <w:uiPriority w:val="1"/>
    <w:qFormat/>
    <w:rsid w:val="001B57DA"/>
    <w:rPr>
      <w:rFonts w:ascii="Calibri" w:eastAsia="Calibri" w:hAnsi="Calibri" w:cs="Calibri"/>
      <w:sz w:val="22"/>
      <w:szCs w:val="22"/>
      <w:lang w:val="en-GB"/>
    </w:rPr>
  </w:style>
  <w:style w:type="paragraph" w:styleId="Revision">
    <w:name w:val="Revision"/>
    <w:hidden/>
    <w:uiPriority w:val="99"/>
    <w:semiHidden/>
    <w:rsid w:val="001B57DA"/>
    <w:rPr>
      <w:sz w:val="24"/>
      <w:szCs w:val="24"/>
    </w:rPr>
  </w:style>
  <w:style w:type="character" w:styleId="Emphasis">
    <w:name w:val="Emphasis"/>
    <w:uiPriority w:val="20"/>
    <w:qFormat/>
    <w:rsid w:val="001B57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20</Pages>
  <Words>5482</Words>
  <Characters>34687</Characters>
  <Application>Microsoft Office Word</Application>
  <DocSecurity>0</DocSecurity>
  <Lines>289</Lines>
  <Paragraphs>80</Paragraphs>
  <ScaleCrop>false</ScaleCrop>
  <Company/>
  <LinksUpToDate>false</LinksUpToDate>
  <CharactersWithSpaces>40089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Daktilobiro05</cp:lastModifiedBy>
  <cp:revision>3</cp:revision>
  <dcterms:created xsi:type="dcterms:W3CDTF">2023-10-20T07:57:00Z</dcterms:created>
  <dcterms:modified xsi:type="dcterms:W3CDTF">2023-10-20T08:04:00Z</dcterms:modified>
</cp:coreProperties>
</file>